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2E900" w14:textId="3595C986" w:rsidR="00093AE4" w:rsidRPr="00093AE4" w:rsidRDefault="00093AE4" w:rsidP="00093AE4">
      <w:r w:rsidRPr="00093AE4">
        <w:rPr>
          <w:rFonts w:hint="eastAsia"/>
          <w:b/>
          <w:bCs/>
        </w:rPr>
        <w:t>コミュニケーション法</w:t>
      </w:r>
    </w:p>
    <w:p w14:paraId="78116D69" w14:textId="2329E260" w:rsidR="00093AE4" w:rsidRDefault="00093AE4" w:rsidP="00093AE4">
      <w:pPr>
        <w:rPr>
          <w:b/>
          <w:bCs/>
        </w:rPr>
      </w:pPr>
    </w:p>
    <w:p w14:paraId="00216F8F" w14:textId="1C1F4E74" w:rsidR="00093AE4" w:rsidRPr="00093AE4" w:rsidRDefault="00093AE4" w:rsidP="00093AE4">
      <w:pPr>
        <w:rPr>
          <w:color w:val="7030A0"/>
        </w:rPr>
      </w:pPr>
      <w:r w:rsidRPr="00093AE4">
        <w:rPr>
          <w:rFonts w:hint="eastAsia"/>
          <w:b/>
          <w:bCs/>
          <w:color w:val="7030A0"/>
        </w:rPr>
        <w:t>はじめに：行動調整法</w:t>
      </w:r>
    </w:p>
    <w:p w14:paraId="1DC16A2A" w14:textId="09492BE1" w:rsidR="00093AE4" w:rsidRPr="00093AE4" w:rsidRDefault="00093AE4" w:rsidP="00093AE4">
      <w:r w:rsidRPr="00093AE4">
        <w:rPr>
          <w:rFonts w:hint="eastAsia"/>
          <w:b/>
          <w:bCs/>
        </w:rPr>
        <w:t>（１）行動調整法とは</w:t>
      </w:r>
      <w:r w:rsidRPr="00093AE4">
        <w:rPr>
          <w:rFonts w:hint="eastAsia"/>
        </w:rPr>
        <w:br/>
        <w:t>歯科診療や口腔ケアの妨げとなる患者の心身の反応や行動の表出を予防，制御し，</w:t>
      </w:r>
    </w:p>
    <w:p w14:paraId="20127CFE" w14:textId="77777777" w:rsidR="00093AE4" w:rsidRPr="00093AE4" w:rsidRDefault="00093AE4" w:rsidP="00093AE4">
      <w:r w:rsidRPr="00093AE4">
        <w:rPr>
          <w:rFonts w:hint="eastAsia"/>
        </w:rPr>
        <w:t>患者・術者ともにできるだけ快適な環境下で，</w:t>
      </w:r>
    </w:p>
    <w:p w14:paraId="0051D2D3" w14:textId="77DB917C" w:rsidR="00093AE4" w:rsidRPr="00093AE4" w:rsidRDefault="00093AE4" w:rsidP="00093AE4">
      <w:r w:rsidRPr="00093AE4">
        <w:rPr>
          <w:rFonts w:hint="eastAsia"/>
        </w:rPr>
        <w:t>安全で確実な歯科治療が行えるよう患者の心身の状態を調整していくための方法．</w:t>
      </w:r>
    </w:p>
    <w:p w14:paraId="5E11A51E" w14:textId="4AC9A1B8" w:rsidR="00093AE4" w:rsidRPr="00093AE4" w:rsidRDefault="00093AE4" w:rsidP="00093AE4">
      <w:r w:rsidRPr="00093AE4">
        <w:rPr>
          <w:rFonts w:hint="eastAsia"/>
          <w:b/>
          <w:bCs/>
        </w:rPr>
        <w:t>（２）行動調整法の種類 </w:t>
      </w:r>
      <w:r w:rsidRPr="00093AE4">
        <w:rPr>
          <w:rFonts w:hint="eastAsia"/>
        </w:rPr>
        <w:t xml:space="preserve">　　</w:t>
      </w:r>
    </w:p>
    <w:p w14:paraId="65F86024" w14:textId="77777777" w:rsidR="00093AE4" w:rsidRPr="00093AE4" w:rsidRDefault="00093AE4" w:rsidP="00093AE4">
      <w:r w:rsidRPr="00093AE4">
        <w:rPr>
          <w:rFonts w:hint="eastAsia"/>
        </w:rPr>
        <w:t xml:space="preserve">　【１】コミュニケ－ション法 </w:t>
      </w:r>
    </w:p>
    <w:p w14:paraId="048D310E" w14:textId="404B42C4" w:rsidR="00093AE4" w:rsidRPr="00093AE4" w:rsidRDefault="00093AE4" w:rsidP="00093AE4">
      <w:r w:rsidRPr="00093AE4">
        <w:rPr>
          <w:rFonts w:hint="eastAsia"/>
        </w:rPr>
        <w:t xml:space="preserve">　【２】行動療法 　　</w:t>
      </w:r>
      <w:r w:rsidRPr="00093AE4">
        <w:rPr>
          <w:rFonts w:hint="eastAsia"/>
        </w:rPr>
        <w:br/>
        <w:t xml:space="preserve">　【３】薬物的行動調整（鎮静法、全身麻酔法） 　　</w:t>
      </w:r>
      <w:r w:rsidRPr="00093AE4">
        <w:rPr>
          <w:rFonts w:hint="eastAsia"/>
        </w:rPr>
        <w:br/>
        <w:t xml:space="preserve">　【４】物理的な体動の調整法 　　</w:t>
      </w:r>
      <w:r w:rsidRPr="00093AE4">
        <w:rPr>
          <w:rFonts w:hint="eastAsia"/>
        </w:rPr>
        <w:br/>
        <w:t xml:space="preserve">　【５】歯科治療・口腔ケア時の工夫 </w:t>
      </w:r>
    </w:p>
    <w:p w14:paraId="379F8FBF" w14:textId="18322EE3" w:rsidR="00093AE4" w:rsidRPr="00093AE4" w:rsidRDefault="00093AE4" w:rsidP="00093AE4">
      <w:r w:rsidRPr="00093AE4">
        <w:rPr>
          <w:rFonts w:hint="eastAsia"/>
          <w:b/>
          <w:bCs/>
        </w:rPr>
        <w:t>（３）コミュニケーション法とは</w:t>
      </w:r>
    </w:p>
    <w:p w14:paraId="373AC154" w14:textId="0CE855BA" w:rsidR="00093AE4" w:rsidRDefault="00093AE4" w:rsidP="00093AE4">
      <w:r w:rsidRPr="00093AE4">
        <w:rPr>
          <w:rFonts w:hint="eastAsia"/>
          <w:b/>
          <w:bCs/>
        </w:rPr>
        <w:t xml:space="preserve">　</w:t>
      </w:r>
      <w:r w:rsidRPr="00093AE4">
        <w:rPr>
          <w:rFonts w:hint="eastAsia"/>
        </w:rPr>
        <w:t>障がい者，特に</w:t>
      </w:r>
      <w:r w:rsidRPr="00093AE4">
        <w:rPr>
          <w:rFonts w:hint="eastAsia"/>
          <w:color w:val="FF0000"/>
        </w:rPr>
        <w:t>感覚障害（視覚、聴覚）</w:t>
      </w:r>
      <w:r w:rsidRPr="00093AE4">
        <w:rPr>
          <w:rFonts w:hint="eastAsia"/>
        </w:rPr>
        <w:t>や，</w:t>
      </w:r>
      <w:r w:rsidRPr="00093AE4">
        <w:rPr>
          <w:rFonts w:hint="eastAsia"/>
          <w:color w:val="FF0000"/>
        </w:rPr>
        <w:t>精神障害</w:t>
      </w:r>
      <w:r w:rsidRPr="00093AE4">
        <w:rPr>
          <w:rFonts w:hint="eastAsia"/>
        </w:rPr>
        <w:t>，</w:t>
      </w:r>
      <w:r w:rsidRPr="00093AE4">
        <w:rPr>
          <w:rFonts w:hint="eastAsia"/>
          <w:color w:val="FF0000"/>
        </w:rPr>
        <w:t>認知症</w:t>
      </w:r>
      <w:r w:rsidRPr="00093AE4">
        <w:rPr>
          <w:rFonts w:hint="eastAsia"/>
        </w:rPr>
        <w:t>，</w:t>
      </w:r>
      <w:r w:rsidRPr="00093AE4">
        <w:rPr>
          <w:rFonts w:hint="eastAsia"/>
          <w:color w:val="FF0000"/>
        </w:rPr>
        <w:t>発達障害</w:t>
      </w:r>
      <w:r w:rsidRPr="00093AE4">
        <w:rPr>
          <w:rFonts w:hint="eastAsia"/>
        </w:rPr>
        <w:t>のある方との意</w:t>
      </w:r>
    </w:p>
    <w:p w14:paraId="4AEB3F42" w14:textId="2CF54BBE" w:rsidR="00093AE4" w:rsidRPr="00093AE4" w:rsidRDefault="00093AE4" w:rsidP="00093AE4">
      <w:pPr>
        <w:ind w:firstLineChars="100" w:firstLine="210"/>
      </w:pPr>
      <w:r w:rsidRPr="00093AE4">
        <w:rPr>
          <w:rFonts w:hint="eastAsia"/>
        </w:rPr>
        <w:t>思疎通を図るための方法</w:t>
      </w:r>
    </w:p>
    <w:p w14:paraId="3DE6B100" w14:textId="612836BA" w:rsidR="00093AE4" w:rsidRPr="00093AE4" w:rsidRDefault="00093AE4" w:rsidP="00093AE4">
      <w:r w:rsidRPr="00093AE4">
        <w:rPr>
          <w:rFonts w:hint="eastAsia"/>
          <w:b/>
          <w:bCs/>
        </w:rPr>
        <w:t>（４）バリデーションとは</w:t>
      </w:r>
    </w:p>
    <w:p w14:paraId="6E99CE65" w14:textId="1A1CF66E" w:rsidR="00093AE4" w:rsidRDefault="00093AE4" w:rsidP="00093AE4">
      <w:r w:rsidRPr="00093AE4">
        <w:rPr>
          <w:rFonts w:hint="eastAsia"/>
          <w:b/>
          <w:bCs/>
        </w:rPr>
        <w:t xml:space="preserve">　</w:t>
      </w:r>
      <w:r w:rsidRPr="00093AE4">
        <w:rPr>
          <w:rFonts w:hint="eastAsia"/>
        </w:rPr>
        <w:t>アルツハイマー型認知症と類似の認知症のご高齢者とコミュニケーションをとるための</w:t>
      </w:r>
    </w:p>
    <w:p w14:paraId="50FB765B" w14:textId="32D2BF4E" w:rsidR="00093AE4" w:rsidRPr="00093AE4" w:rsidRDefault="00093AE4" w:rsidP="00093AE4">
      <w:pPr>
        <w:ind w:firstLineChars="100" w:firstLine="210"/>
      </w:pPr>
      <w:r w:rsidRPr="00093AE4">
        <w:rPr>
          <w:rFonts w:hint="eastAsia"/>
        </w:rPr>
        <w:t>方法のひとつ．</w:t>
      </w:r>
    </w:p>
    <w:p w14:paraId="26A76808" w14:textId="636A79EB" w:rsidR="00093AE4" w:rsidRPr="00093AE4" w:rsidRDefault="00093AE4" w:rsidP="00093AE4">
      <w:r w:rsidRPr="00093AE4">
        <w:rPr>
          <w:rFonts w:hint="eastAsia"/>
        </w:rPr>
        <w:t xml:space="preserve">　認知症の方の言動や行動を意味のあることと捉え，認め，受け入れることをいう．</w:t>
      </w:r>
    </w:p>
    <w:p w14:paraId="7F4EC648" w14:textId="75A648E5" w:rsidR="00093AE4" w:rsidRPr="00093AE4" w:rsidRDefault="00093AE4" w:rsidP="00093AE4">
      <w:r>
        <w:rPr>
          <w:noProof/>
        </w:rPr>
        <w:drawing>
          <wp:anchor distT="0" distB="0" distL="114300" distR="114300" simplePos="0" relativeHeight="251658240" behindDoc="1" locked="0" layoutInCell="1" allowOverlap="1" wp14:anchorId="18478143" wp14:editId="770C3C91">
            <wp:simplePos x="0" y="0"/>
            <wp:positionH relativeFrom="margin">
              <wp:posOffset>4457700</wp:posOffset>
            </wp:positionH>
            <wp:positionV relativeFrom="paragraph">
              <wp:posOffset>92075</wp:posOffset>
            </wp:positionV>
            <wp:extent cx="1619250" cy="1512724"/>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19250" cy="15127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3AE4">
        <w:rPr>
          <w:rFonts w:hint="eastAsia"/>
          <w:b/>
          <w:bCs/>
          <w:color w:val="7030A0"/>
        </w:rPr>
        <w:t>１：視覚または聴覚障害のある人への対応</w:t>
      </w:r>
    </w:p>
    <w:p w14:paraId="0C19AE06" w14:textId="69322873" w:rsidR="00093AE4" w:rsidRPr="00093AE4" w:rsidRDefault="00093AE4" w:rsidP="00093AE4">
      <w:r w:rsidRPr="00093AE4">
        <w:rPr>
          <w:rFonts w:hint="eastAsia"/>
          <w:b/>
          <w:bCs/>
        </w:rPr>
        <w:t>（１）視覚障害のある人とのコミュニケーション</w:t>
      </w:r>
    </w:p>
    <w:p w14:paraId="5035C504" w14:textId="3F33FA38" w:rsidR="00093AE4" w:rsidRPr="00093AE4" w:rsidRDefault="00093AE4" w:rsidP="00093AE4">
      <w:r w:rsidRPr="00093AE4">
        <w:rPr>
          <w:rFonts w:hint="eastAsia"/>
          <w:b/>
          <w:bCs/>
        </w:rPr>
        <w:t xml:space="preserve">　　①音声言語</w:t>
      </w:r>
    </w:p>
    <w:p w14:paraId="39D40411" w14:textId="0585B610" w:rsidR="00093AE4" w:rsidRPr="00093AE4" w:rsidRDefault="00093AE4" w:rsidP="00093AE4">
      <w:r w:rsidRPr="00093AE4">
        <w:rPr>
          <w:rFonts w:hint="eastAsia"/>
        </w:rPr>
        <w:t xml:space="preserve">　　　視覚障害のある人のほとんどで用いることができる．</w:t>
      </w:r>
    </w:p>
    <w:p w14:paraId="15ACE34F" w14:textId="652D1475" w:rsidR="00093AE4" w:rsidRPr="00093AE4" w:rsidRDefault="00093AE4" w:rsidP="00093AE4">
      <w:r w:rsidRPr="00093AE4">
        <w:rPr>
          <w:rFonts w:hint="eastAsia"/>
        </w:rPr>
        <w:t xml:space="preserve">　　　声をかけるとき，先に自分から名乗るなどのルールがある．</w:t>
      </w:r>
    </w:p>
    <w:p w14:paraId="1E97F876" w14:textId="4DA7D0FC" w:rsidR="00093AE4" w:rsidRPr="00093AE4" w:rsidRDefault="00093AE4" w:rsidP="00093AE4">
      <w:r w:rsidRPr="00093AE4">
        <w:rPr>
          <w:rFonts w:hint="eastAsia"/>
        </w:rPr>
        <w:t xml:space="preserve">　　　音声の記録には筆記や録音装置が利用される.</w:t>
      </w:r>
    </w:p>
    <w:p w14:paraId="472376D2" w14:textId="433E0307" w:rsidR="00093AE4" w:rsidRPr="00093AE4" w:rsidRDefault="00093AE4" w:rsidP="00093AE4">
      <w:r w:rsidRPr="00093AE4">
        <w:rPr>
          <w:rFonts w:hint="eastAsia"/>
          <w:b/>
          <w:bCs/>
        </w:rPr>
        <w:t xml:space="preserve">　　②点字</w:t>
      </w:r>
    </w:p>
    <w:p w14:paraId="369239B8" w14:textId="671124F1" w:rsidR="00093AE4" w:rsidRPr="00093AE4" w:rsidRDefault="00093AE4" w:rsidP="00093AE4">
      <w:r>
        <w:rPr>
          <w:noProof/>
        </w:rPr>
        <w:drawing>
          <wp:anchor distT="0" distB="0" distL="114300" distR="114300" simplePos="0" relativeHeight="251660288" behindDoc="1" locked="0" layoutInCell="1" allowOverlap="1" wp14:anchorId="62E1CDEC" wp14:editId="3E293D70">
            <wp:simplePos x="0" y="0"/>
            <wp:positionH relativeFrom="column">
              <wp:posOffset>4539615</wp:posOffset>
            </wp:positionH>
            <wp:positionV relativeFrom="paragraph">
              <wp:posOffset>6349</wp:posOffset>
            </wp:positionV>
            <wp:extent cx="1485900" cy="1531571"/>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87742" cy="1533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3AE4">
        <w:rPr>
          <w:rFonts w:hint="eastAsia"/>
        </w:rPr>
        <w:t xml:space="preserve">　　　</w:t>
      </w:r>
      <w:r w:rsidRPr="00093AE4">
        <w:rPr>
          <w:rFonts w:hint="eastAsia"/>
          <w:color w:val="FF0000"/>
        </w:rPr>
        <w:t>六つの点の組み合わせ</w:t>
      </w:r>
      <w:r w:rsidRPr="00093AE4">
        <w:rPr>
          <w:rFonts w:hint="eastAsia"/>
        </w:rPr>
        <w:t>．</w:t>
      </w:r>
    </w:p>
    <w:p w14:paraId="4CF8A5CA" w14:textId="421DE8C1" w:rsidR="00093AE4" w:rsidRPr="00093AE4" w:rsidRDefault="00093AE4" w:rsidP="00093AE4">
      <w:r w:rsidRPr="00093AE4">
        <w:rPr>
          <w:rFonts w:hint="eastAsia"/>
        </w:rPr>
        <w:t xml:space="preserve">　　　</w:t>
      </w:r>
      <w:r w:rsidRPr="00093AE4">
        <w:rPr>
          <w:rFonts w:hint="eastAsia"/>
          <w:color w:val="FF0000"/>
        </w:rPr>
        <w:t>触読</w:t>
      </w:r>
      <w:r w:rsidRPr="00093AE4">
        <w:rPr>
          <w:rFonts w:hint="eastAsia"/>
        </w:rPr>
        <w:t>（指で触った感覚で文字を読みとること）できる表音文字.</w:t>
      </w:r>
    </w:p>
    <w:p w14:paraId="79FD0E32" w14:textId="4984A156" w:rsidR="00093AE4" w:rsidRPr="00093AE4" w:rsidRDefault="00093AE4" w:rsidP="00093AE4">
      <w:pPr>
        <w:ind w:firstLineChars="200" w:firstLine="412"/>
      </w:pPr>
      <w:r w:rsidRPr="00093AE4">
        <w:rPr>
          <w:rFonts w:hint="eastAsia"/>
          <w:b/>
          <w:bCs/>
        </w:rPr>
        <w:t>③触図</w:t>
      </w:r>
    </w:p>
    <w:p w14:paraId="5900CC5B" w14:textId="77777777" w:rsidR="00093AE4" w:rsidRDefault="00093AE4" w:rsidP="00093AE4">
      <w:r w:rsidRPr="00093AE4">
        <w:rPr>
          <w:rFonts w:hint="eastAsia"/>
        </w:rPr>
        <w:t xml:space="preserve">　</w:t>
      </w:r>
      <w:r>
        <w:rPr>
          <w:rFonts w:hint="eastAsia"/>
        </w:rPr>
        <w:t xml:space="preserve">　　</w:t>
      </w:r>
      <w:r w:rsidRPr="00093AE4">
        <w:rPr>
          <w:rFonts w:hint="eastAsia"/>
        </w:rPr>
        <w:t>絵や地図などを指で触って認識できるよう異なる材質を組み合わ</w:t>
      </w:r>
    </w:p>
    <w:p w14:paraId="40680F08" w14:textId="4C4AA7B8" w:rsidR="00093AE4" w:rsidRPr="00093AE4" w:rsidRDefault="00093AE4" w:rsidP="00093AE4">
      <w:pPr>
        <w:ind w:firstLineChars="300" w:firstLine="630"/>
        <w:rPr>
          <w:rFonts w:hint="eastAsia"/>
        </w:rPr>
      </w:pPr>
      <w:r w:rsidRPr="00093AE4">
        <w:rPr>
          <w:rFonts w:hint="eastAsia"/>
        </w:rPr>
        <w:t>せて立体的に作成した図.</w:t>
      </w:r>
    </w:p>
    <w:p w14:paraId="73158164" w14:textId="74BD2D8C" w:rsidR="00093AE4" w:rsidRPr="00093AE4" w:rsidRDefault="00093AE4" w:rsidP="00093AE4">
      <w:pPr>
        <w:ind w:firstLineChars="200" w:firstLine="412"/>
      </w:pPr>
      <w:r w:rsidRPr="00093AE4">
        <w:rPr>
          <w:rFonts w:hint="eastAsia"/>
          <w:b/>
          <w:bCs/>
        </w:rPr>
        <w:t>④模型の利用</w:t>
      </w:r>
    </w:p>
    <w:p w14:paraId="1593F670" w14:textId="386029CD" w:rsidR="00093AE4" w:rsidRPr="00093AE4" w:rsidRDefault="00093AE4" w:rsidP="00093AE4">
      <w:r w:rsidRPr="00093AE4">
        <w:rPr>
          <w:rFonts w:hint="eastAsia"/>
        </w:rPr>
        <w:t xml:space="preserve">　</w:t>
      </w:r>
      <w:r>
        <w:rPr>
          <w:rFonts w:hint="eastAsia"/>
        </w:rPr>
        <w:t xml:space="preserve">　　</w:t>
      </w:r>
      <w:r w:rsidRPr="00093AE4">
        <w:rPr>
          <w:rFonts w:hint="eastAsia"/>
        </w:rPr>
        <w:t>病態や治療方法を説明するとき，臓器模型やスタディモデルなど</w:t>
      </w:r>
    </w:p>
    <w:p w14:paraId="6861D6CA" w14:textId="0797BB7F" w:rsidR="00093AE4" w:rsidRPr="00093AE4" w:rsidRDefault="00093AE4" w:rsidP="00093AE4">
      <w:r>
        <w:rPr>
          <w:noProof/>
        </w:rPr>
        <w:drawing>
          <wp:anchor distT="0" distB="0" distL="114300" distR="114300" simplePos="0" relativeHeight="251659264" behindDoc="1" locked="0" layoutInCell="1" allowOverlap="1" wp14:anchorId="17B4AE9A" wp14:editId="1D8589DC">
            <wp:simplePos x="0" y="0"/>
            <wp:positionH relativeFrom="column">
              <wp:posOffset>4453890</wp:posOffset>
            </wp:positionH>
            <wp:positionV relativeFrom="paragraph">
              <wp:posOffset>6350</wp:posOffset>
            </wp:positionV>
            <wp:extent cx="1638300" cy="137985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8300" cy="1379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3AE4">
        <w:rPr>
          <w:rFonts w:hint="eastAsia"/>
        </w:rPr>
        <w:t xml:space="preserve">　</w:t>
      </w:r>
      <w:r>
        <w:rPr>
          <w:rFonts w:hint="eastAsia"/>
        </w:rPr>
        <w:t xml:space="preserve">　　</w:t>
      </w:r>
      <w:r w:rsidRPr="00093AE4">
        <w:rPr>
          <w:rFonts w:hint="eastAsia"/>
        </w:rPr>
        <w:t>を触ってもらう方法．</w:t>
      </w:r>
    </w:p>
    <w:p w14:paraId="29E64E7F" w14:textId="77777777" w:rsidR="00093AE4" w:rsidRDefault="00093AE4" w:rsidP="00093AE4">
      <w:pPr>
        <w:rPr>
          <w:b/>
          <w:bCs/>
        </w:rPr>
      </w:pPr>
    </w:p>
    <w:p w14:paraId="0C79F4C1" w14:textId="63009F26" w:rsidR="00093AE4" w:rsidRPr="00093AE4" w:rsidRDefault="00093AE4" w:rsidP="00093AE4">
      <w:r w:rsidRPr="00093AE4">
        <w:rPr>
          <w:rFonts w:hint="eastAsia"/>
          <w:b/>
          <w:bCs/>
        </w:rPr>
        <w:lastRenderedPageBreak/>
        <w:t>（２）聴覚障害のある人とのコミュニケーション</w:t>
      </w:r>
    </w:p>
    <w:p w14:paraId="3DAF3CC5" w14:textId="77777777" w:rsidR="00093AE4" w:rsidRPr="00093AE4" w:rsidRDefault="00093AE4" w:rsidP="00093AE4">
      <w:r w:rsidRPr="00093AE4">
        <w:rPr>
          <w:rFonts w:hint="eastAsia"/>
          <w:b/>
          <w:bCs/>
        </w:rPr>
        <w:t>①補聴器</w:t>
      </w:r>
    </w:p>
    <w:p w14:paraId="06BB354D" w14:textId="77777777" w:rsidR="00093AE4" w:rsidRPr="00093AE4" w:rsidRDefault="00093AE4" w:rsidP="00093AE4">
      <w:r w:rsidRPr="00093AE4">
        <w:rPr>
          <w:rFonts w:hint="eastAsia"/>
        </w:rPr>
        <w:t xml:space="preserve">　音を増幅する器具．耳かけ型，挿耳型，箱型がある.</w:t>
      </w:r>
    </w:p>
    <w:p w14:paraId="4D4649A5" w14:textId="0454901C" w:rsidR="00093AE4" w:rsidRPr="00093AE4" w:rsidRDefault="00093AE4" w:rsidP="00093AE4">
      <w:pPr>
        <w:rPr>
          <w:rFonts w:hint="eastAsia"/>
        </w:rPr>
      </w:pPr>
      <w:r w:rsidRPr="00093AE4">
        <w:rPr>
          <w:rFonts w:hint="eastAsia"/>
        </w:rPr>
        <w:t xml:space="preserve">　雑音も増幅させるため，会話はできるだけ</w:t>
      </w:r>
      <w:r w:rsidRPr="00093AE4">
        <w:rPr>
          <w:rFonts w:hint="eastAsia"/>
          <w:color w:val="FF0000"/>
        </w:rPr>
        <w:t>静かな環境</w:t>
      </w:r>
      <w:r w:rsidRPr="00093AE4">
        <w:rPr>
          <w:rFonts w:hint="eastAsia"/>
        </w:rPr>
        <w:t>で行うようにする．</w:t>
      </w:r>
    </w:p>
    <w:p w14:paraId="7F51797F" w14:textId="3B293247" w:rsidR="00093AE4" w:rsidRDefault="00093AE4" w:rsidP="00093AE4">
      <w:pPr>
        <w:rPr>
          <w:rFonts w:hint="eastAsia"/>
          <w:b/>
          <w:bCs/>
        </w:rPr>
      </w:pPr>
      <w:r>
        <w:rPr>
          <w:b/>
          <w:bCs/>
          <w:noProof/>
        </w:rPr>
        <w:drawing>
          <wp:inline distT="0" distB="0" distL="0" distR="0" wp14:anchorId="5F985238" wp14:editId="61296E1F">
            <wp:extent cx="1857375" cy="18573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inline>
        </w:drawing>
      </w:r>
      <w:r>
        <w:rPr>
          <w:b/>
          <w:bCs/>
          <w:noProof/>
        </w:rPr>
        <w:drawing>
          <wp:inline distT="0" distB="0" distL="0" distR="0" wp14:anchorId="35368D0C" wp14:editId="6DEAA2E9">
            <wp:extent cx="1695450" cy="1858168"/>
            <wp:effectExtent l="0" t="0" r="0" b="889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9492" cy="1862597"/>
                    </a:xfrm>
                    <a:prstGeom prst="rect">
                      <a:avLst/>
                    </a:prstGeom>
                    <a:noFill/>
                    <a:ln>
                      <a:noFill/>
                    </a:ln>
                  </pic:spPr>
                </pic:pic>
              </a:graphicData>
            </a:graphic>
          </wp:inline>
        </w:drawing>
      </w:r>
      <w:r>
        <w:rPr>
          <w:b/>
          <w:bCs/>
          <w:noProof/>
        </w:rPr>
        <w:drawing>
          <wp:inline distT="0" distB="0" distL="0" distR="0" wp14:anchorId="77406C38" wp14:editId="323A5ED3">
            <wp:extent cx="1762125" cy="1962792"/>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3935" cy="1964808"/>
                    </a:xfrm>
                    <a:prstGeom prst="rect">
                      <a:avLst/>
                    </a:prstGeom>
                    <a:noFill/>
                    <a:ln>
                      <a:noFill/>
                    </a:ln>
                  </pic:spPr>
                </pic:pic>
              </a:graphicData>
            </a:graphic>
          </wp:inline>
        </w:drawing>
      </w:r>
    </w:p>
    <w:p w14:paraId="14BC031A" w14:textId="34641A4B" w:rsidR="00093AE4" w:rsidRPr="00093AE4" w:rsidRDefault="00093AE4" w:rsidP="00093AE4">
      <w:r w:rsidRPr="00093AE4">
        <w:rPr>
          <w:rFonts w:hint="eastAsia"/>
          <w:b/>
          <w:bCs/>
        </w:rPr>
        <w:t>②人工内耳</w:t>
      </w:r>
    </w:p>
    <w:p w14:paraId="3988A350" w14:textId="1B4CDEB8" w:rsidR="00093AE4" w:rsidRDefault="00093AE4" w:rsidP="00093AE4">
      <w:r w:rsidRPr="00093AE4">
        <w:rPr>
          <w:rFonts w:hint="eastAsia"/>
        </w:rPr>
        <w:t xml:space="preserve">　音を電気信号に変え，</w:t>
      </w:r>
      <w:r w:rsidRPr="00093AE4">
        <w:rPr>
          <w:rFonts w:hint="eastAsia"/>
          <w:color w:val="FF0000"/>
        </w:rPr>
        <w:t>内耳に送る</w:t>
      </w:r>
      <w:r w:rsidRPr="00093AE4">
        <w:rPr>
          <w:rFonts w:hint="eastAsia"/>
        </w:rPr>
        <w:t>装置．</w:t>
      </w:r>
    </w:p>
    <w:p w14:paraId="4EE196CF" w14:textId="75CE6321" w:rsidR="00093AE4" w:rsidRPr="00093AE4" w:rsidRDefault="00093AE4" w:rsidP="00093AE4">
      <w:pPr>
        <w:rPr>
          <w:rFonts w:hint="eastAsia"/>
        </w:rPr>
      </w:pPr>
      <w:r>
        <w:rPr>
          <w:noProof/>
        </w:rPr>
        <w:drawing>
          <wp:inline distT="0" distB="0" distL="0" distR="0" wp14:anchorId="65A11003" wp14:editId="646D0C45">
            <wp:extent cx="2097405" cy="2200910"/>
            <wp:effectExtent l="0" t="0" r="0" b="889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7405" cy="2200910"/>
                    </a:xfrm>
                    <a:prstGeom prst="rect">
                      <a:avLst/>
                    </a:prstGeom>
                    <a:noFill/>
                    <a:ln>
                      <a:noFill/>
                    </a:ln>
                  </pic:spPr>
                </pic:pic>
              </a:graphicData>
            </a:graphic>
          </wp:inline>
        </w:drawing>
      </w:r>
      <w:r>
        <w:rPr>
          <w:noProof/>
        </w:rPr>
        <w:drawing>
          <wp:inline distT="0" distB="0" distL="0" distR="0" wp14:anchorId="08D21C26" wp14:editId="55534016">
            <wp:extent cx="2359660" cy="2103120"/>
            <wp:effectExtent l="0" t="0" r="254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9660" cy="2103120"/>
                    </a:xfrm>
                    <a:prstGeom prst="rect">
                      <a:avLst/>
                    </a:prstGeom>
                    <a:noFill/>
                    <a:ln>
                      <a:noFill/>
                    </a:ln>
                  </pic:spPr>
                </pic:pic>
              </a:graphicData>
            </a:graphic>
          </wp:inline>
        </w:drawing>
      </w:r>
    </w:p>
    <w:p w14:paraId="49EE03F0" w14:textId="77777777" w:rsidR="00093AE4" w:rsidRPr="00093AE4" w:rsidRDefault="00093AE4" w:rsidP="00093AE4">
      <w:r w:rsidRPr="00093AE4">
        <w:rPr>
          <w:rFonts w:hint="eastAsia"/>
          <w:b/>
          <w:bCs/>
        </w:rPr>
        <w:t>③筆談</w:t>
      </w:r>
    </w:p>
    <w:p w14:paraId="4B19D9CA" w14:textId="77777777" w:rsidR="00093AE4" w:rsidRPr="00093AE4" w:rsidRDefault="00093AE4" w:rsidP="00093AE4">
      <w:r w:rsidRPr="00093AE4">
        <w:rPr>
          <w:rFonts w:hint="eastAsia"/>
        </w:rPr>
        <w:t xml:space="preserve">　文字を書いて意思疎通をはかる方法．</w:t>
      </w:r>
    </w:p>
    <w:p w14:paraId="2A15B537" w14:textId="63DCAF17" w:rsidR="00093AE4" w:rsidRPr="00093AE4" w:rsidRDefault="00093AE4" w:rsidP="00093AE4">
      <w:pPr>
        <w:ind w:left="210" w:hangingChars="100" w:hanging="210"/>
      </w:pPr>
      <w:r w:rsidRPr="00093AE4">
        <w:rPr>
          <w:rFonts w:hint="eastAsia"/>
        </w:rPr>
        <w:t xml:space="preserve">　紙に書く，簡易筆談器のボードに書く，パソコン画面に入力する，スマートフォンなどの音声認識技術を利用する　など手話を用いない中途失聴者や難聴者では，最も多く利用される.</w:t>
      </w:r>
    </w:p>
    <w:p w14:paraId="2A993F43" w14:textId="41B7B339" w:rsidR="00093AE4" w:rsidRPr="00093AE4" w:rsidRDefault="00093AE4" w:rsidP="00093AE4">
      <w:r w:rsidRPr="00093AE4">
        <w:rPr>
          <w:rFonts w:hint="eastAsia"/>
        </w:rPr>
        <w:t xml:space="preserve">　なお，同じ量の情報を伝えるには，</w:t>
      </w:r>
      <w:r w:rsidRPr="00093AE4">
        <w:rPr>
          <w:rFonts w:hint="eastAsia"/>
          <w:color w:val="FF0000"/>
        </w:rPr>
        <w:t>筆談では音声会話の5倍ほどの時間が必要</w:t>
      </w:r>
      <w:r w:rsidRPr="00093AE4">
        <w:rPr>
          <w:rFonts w:hint="eastAsia"/>
        </w:rPr>
        <w:t>．</w:t>
      </w:r>
    </w:p>
    <w:p w14:paraId="541CC395" w14:textId="77777777" w:rsidR="00093AE4" w:rsidRPr="00093AE4" w:rsidRDefault="00093AE4" w:rsidP="00093AE4">
      <w:r w:rsidRPr="00093AE4">
        <w:rPr>
          <w:rFonts w:hint="eastAsia"/>
          <w:b/>
          <w:bCs/>
        </w:rPr>
        <w:t>④手話</w:t>
      </w:r>
    </w:p>
    <w:p w14:paraId="6E880797" w14:textId="77777777" w:rsidR="00093AE4" w:rsidRPr="00093AE4" w:rsidRDefault="00093AE4" w:rsidP="00093AE4">
      <w:r w:rsidRPr="00093AE4">
        <w:rPr>
          <w:rFonts w:hint="eastAsia"/>
        </w:rPr>
        <w:t xml:space="preserve">　手指や口の動き，表情および体の動作を同時に使う</w:t>
      </w:r>
      <w:r w:rsidRPr="00093AE4">
        <w:rPr>
          <w:rFonts w:hint="eastAsia"/>
          <w:color w:val="FF0000"/>
        </w:rPr>
        <w:t>視覚言語</w:t>
      </w:r>
      <w:r w:rsidRPr="00093AE4">
        <w:rPr>
          <w:rFonts w:hint="eastAsia"/>
        </w:rPr>
        <w:t>．</w:t>
      </w:r>
    </w:p>
    <w:p w14:paraId="73980B3D" w14:textId="77777777" w:rsidR="00093AE4" w:rsidRPr="00093AE4" w:rsidRDefault="00093AE4" w:rsidP="00093AE4">
      <w:r w:rsidRPr="00093AE4">
        <w:rPr>
          <w:rFonts w:hint="eastAsia"/>
        </w:rPr>
        <w:t xml:space="preserve">　筆談よりも手話での対応のほうが緊張や不安が少ない.</w:t>
      </w:r>
    </w:p>
    <w:p w14:paraId="2AF405D8" w14:textId="77777777" w:rsidR="00093AE4" w:rsidRPr="00093AE4" w:rsidRDefault="00093AE4" w:rsidP="00093AE4">
      <w:r w:rsidRPr="00093AE4">
        <w:rPr>
          <w:rFonts w:hint="eastAsia"/>
        </w:rPr>
        <w:t xml:space="preserve">　歯科医療者が自ら手話を用いるか，手話通訳を利用する方法がよい．</w:t>
      </w:r>
    </w:p>
    <w:p w14:paraId="48A6E0D8" w14:textId="65EAB6F7" w:rsidR="00093AE4" w:rsidRPr="00093AE4" w:rsidRDefault="00093AE4" w:rsidP="00093AE4">
      <w:r w:rsidRPr="00093AE4">
        <w:rPr>
          <w:rFonts w:hint="eastAsia"/>
        </w:rPr>
        <w:t xml:space="preserve">　</w:t>
      </w:r>
      <w:r w:rsidRPr="00093AE4">
        <w:rPr>
          <w:rFonts w:hint="eastAsia"/>
          <w:color w:val="FF0000"/>
        </w:rPr>
        <w:t>手話通訳者が随伴しているときでも聴覚障害のある人に顔を向けて話をする</w:t>
      </w:r>
      <w:r w:rsidRPr="00093AE4">
        <w:rPr>
          <w:rFonts w:hint="eastAsia"/>
        </w:rPr>
        <w:t>ことが肝要.</w:t>
      </w:r>
    </w:p>
    <w:p w14:paraId="450C8E6B" w14:textId="73D2EB3C" w:rsidR="00093AE4" w:rsidRDefault="00093AE4" w:rsidP="00093AE4">
      <w:r w:rsidRPr="00093AE4">
        <w:rPr>
          <w:rFonts w:hint="eastAsia"/>
        </w:rPr>
        <w:lastRenderedPageBreak/>
        <w:t xml:space="preserve">　指文字：指の形で五十音を表現するもので，手話にない単語に用いられる．</w:t>
      </w:r>
    </w:p>
    <w:p w14:paraId="105E1497" w14:textId="218A9FB4" w:rsidR="00093AE4" w:rsidRPr="00093AE4" w:rsidRDefault="00093AE4" w:rsidP="00093AE4">
      <w:r w:rsidRPr="00093AE4">
        <w:rPr>
          <w:rFonts w:hint="eastAsia"/>
          <w:b/>
          <w:bCs/>
        </w:rPr>
        <w:t xml:space="preserve">⑤口話（読話．読唇） </w:t>
      </w:r>
    </w:p>
    <w:p w14:paraId="0448A36D" w14:textId="77777777" w:rsidR="00093AE4" w:rsidRPr="00093AE4" w:rsidRDefault="00093AE4" w:rsidP="00093AE4">
      <w:r w:rsidRPr="00093AE4">
        <w:rPr>
          <w:rFonts w:hint="eastAsia"/>
        </w:rPr>
        <w:t xml:space="preserve">　聴覚障害のある人が、話し手の唇の動きや口形を読みとって言葉を理解する方法．</w:t>
      </w:r>
    </w:p>
    <w:p w14:paraId="71B23368" w14:textId="7912D847" w:rsidR="00093AE4" w:rsidRPr="00093AE4" w:rsidRDefault="00093AE4" w:rsidP="00093AE4">
      <w:r w:rsidRPr="00093AE4">
        <w:rPr>
          <w:rFonts w:hint="eastAsia"/>
        </w:rPr>
        <w:t xml:space="preserve">　話し手にとっては楽な方法.</w:t>
      </w:r>
    </w:p>
    <w:p w14:paraId="4874F844" w14:textId="77777777" w:rsidR="00093AE4" w:rsidRDefault="00093AE4" w:rsidP="00093AE4">
      <w:r w:rsidRPr="00093AE4">
        <w:rPr>
          <w:rFonts w:hint="eastAsia"/>
        </w:rPr>
        <w:t xml:space="preserve">　しかし聴覚障害のある読み手にとっては神経を集中しなければならず長時間の会話には</w:t>
      </w:r>
    </w:p>
    <w:p w14:paraId="14C7FB59" w14:textId="31C40808" w:rsidR="00093AE4" w:rsidRPr="00093AE4" w:rsidRDefault="00093AE4" w:rsidP="00093AE4">
      <w:pPr>
        <w:ind w:firstLineChars="100" w:firstLine="210"/>
      </w:pPr>
      <w:r w:rsidRPr="00093AE4">
        <w:rPr>
          <w:rFonts w:hint="eastAsia"/>
        </w:rPr>
        <w:t>適さない.</w:t>
      </w:r>
    </w:p>
    <w:p w14:paraId="57024193" w14:textId="5E1C07C6" w:rsidR="00093AE4" w:rsidRPr="00093AE4" w:rsidRDefault="00093AE4" w:rsidP="00093AE4">
      <w:r w:rsidRPr="00093AE4">
        <w:rPr>
          <w:rFonts w:hint="eastAsia"/>
          <w:b/>
          <w:bCs/>
        </w:rPr>
        <w:t>⑥その他</w:t>
      </w:r>
    </w:p>
    <w:p w14:paraId="7D9754C1" w14:textId="4A652EFB" w:rsidR="00093AE4" w:rsidRPr="00093AE4" w:rsidRDefault="00093AE4" w:rsidP="00093AE4">
      <w:pPr>
        <w:rPr>
          <w:rFonts w:hint="eastAsia"/>
        </w:rPr>
      </w:pPr>
      <w:r w:rsidRPr="00093AE4">
        <w:rPr>
          <w:rFonts w:hint="eastAsia"/>
        </w:rPr>
        <w:t xml:space="preserve">　ジェスチャーやキューサイン（話し言葉を視覚化するツール）なども応用される.</w:t>
      </w:r>
    </w:p>
    <w:p w14:paraId="0DC07172" w14:textId="2C0FC3AF" w:rsidR="00093AE4" w:rsidRPr="00093AE4" w:rsidRDefault="00093AE4" w:rsidP="00093AE4">
      <w:r w:rsidRPr="00093AE4">
        <w:rPr>
          <w:rFonts w:hint="eastAsia"/>
          <w:b/>
          <w:bCs/>
        </w:rPr>
        <w:t>（３）視覚と聴覚に障害のある人（盲ろう者）とのコミュニケーション</w:t>
      </w:r>
    </w:p>
    <w:p w14:paraId="102D9262" w14:textId="26C82AB4" w:rsidR="00093AE4" w:rsidRPr="00093AE4" w:rsidRDefault="00093AE4" w:rsidP="00093AE4">
      <w:r w:rsidRPr="00093AE4">
        <w:rPr>
          <w:rFonts w:hint="eastAsia"/>
        </w:rPr>
        <w:t>触覚と残存視力あるいは残存聴力を駆使してコミュニケーションをはかる．</w:t>
      </w:r>
    </w:p>
    <w:p w14:paraId="49D67A7E" w14:textId="3998EEED" w:rsidR="00093AE4" w:rsidRPr="00093AE4" w:rsidRDefault="00BE4CFF" w:rsidP="00093AE4">
      <w:r>
        <w:rPr>
          <w:noProof/>
        </w:rPr>
        <w:drawing>
          <wp:anchor distT="0" distB="0" distL="114300" distR="114300" simplePos="0" relativeHeight="251661312" behindDoc="1" locked="0" layoutInCell="1" allowOverlap="1" wp14:anchorId="596DA93F" wp14:editId="5B9BB865">
            <wp:simplePos x="0" y="0"/>
            <wp:positionH relativeFrom="column">
              <wp:posOffset>4025265</wp:posOffset>
            </wp:positionH>
            <wp:positionV relativeFrom="paragraph">
              <wp:posOffset>177800</wp:posOffset>
            </wp:positionV>
            <wp:extent cx="2200275" cy="1926536"/>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0275" cy="1926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3AE4" w:rsidRPr="00093AE4">
        <w:rPr>
          <w:rFonts w:hint="eastAsia"/>
          <w:b/>
          <w:bCs/>
        </w:rPr>
        <w:t>①指点字：</w:t>
      </w:r>
      <w:r w:rsidR="00093AE4" w:rsidRPr="00093AE4">
        <w:rPr>
          <w:rFonts w:hint="eastAsia"/>
        </w:rPr>
        <w:t>盲ろう者の両手の人差し指・中指・薬指を点字タイプライターのキーに見立てる.</w:t>
      </w:r>
    </w:p>
    <w:p w14:paraId="44260392" w14:textId="7D8261C9" w:rsidR="00093AE4" w:rsidRPr="00093AE4" w:rsidRDefault="00093AE4" w:rsidP="00093AE4">
      <w:r w:rsidRPr="00093AE4">
        <w:rPr>
          <w:rFonts w:hint="eastAsia"/>
        </w:rPr>
        <w:t xml:space="preserve">　点字の仕組みを利用して軽くタッチする.</w:t>
      </w:r>
    </w:p>
    <w:p w14:paraId="0163E30A" w14:textId="39C00445" w:rsidR="00093AE4" w:rsidRPr="00093AE4" w:rsidRDefault="00093AE4" w:rsidP="00093AE4">
      <w:r w:rsidRPr="00093AE4">
        <w:rPr>
          <w:rFonts w:hint="eastAsia"/>
          <w:b/>
          <w:bCs/>
        </w:rPr>
        <w:t>②手書き文字：</w:t>
      </w:r>
      <w:r w:rsidRPr="00093AE4">
        <w:rPr>
          <w:rFonts w:hint="eastAsia"/>
        </w:rPr>
        <w:t>盲ろう者の手のひらに話し手，</w:t>
      </w:r>
    </w:p>
    <w:p w14:paraId="7009B8CB" w14:textId="77777777" w:rsidR="00093AE4" w:rsidRPr="00093AE4" w:rsidRDefault="00093AE4" w:rsidP="00093AE4">
      <w:r w:rsidRPr="00093AE4">
        <w:rPr>
          <w:rFonts w:hint="eastAsia"/>
        </w:rPr>
        <w:t xml:space="preserve">　あるいは盲ろう者の人差し指で文字を書く方法．</w:t>
      </w:r>
    </w:p>
    <w:p w14:paraId="4B6EC660" w14:textId="6289163D" w:rsidR="00BE4CFF" w:rsidRDefault="00093AE4" w:rsidP="00093AE4">
      <w:r w:rsidRPr="00093AE4">
        <w:rPr>
          <w:rFonts w:hint="eastAsia"/>
          <w:b/>
          <w:bCs/>
        </w:rPr>
        <w:t>③音声：</w:t>
      </w:r>
      <w:r w:rsidRPr="00093AE4">
        <w:rPr>
          <w:rFonts w:hint="eastAsia"/>
        </w:rPr>
        <w:t>残存聴力のある場合には，音量に配慮しながら，</w:t>
      </w:r>
    </w:p>
    <w:p w14:paraId="54CEE6F7" w14:textId="22C2B1B7" w:rsidR="00093AE4" w:rsidRPr="00093AE4" w:rsidRDefault="00093AE4" w:rsidP="00093AE4">
      <w:r w:rsidRPr="00093AE4">
        <w:rPr>
          <w:rFonts w:hint="eastAsia"/>
        </w:rPr>
        <w:t>耳元や補聴器のマイクに向かって話す.</w:t>
      </w:r>
    </w:p>
    <w:p w14:paraId="36668222" w14:textId="77777777" w:rsidR="00BE4CFF" w:rsidRDefault="00093AE4" w:rsidP="00093AE4">
      <w:r w:rsidRPr="00093AE4">
        <w:rPr>
          <w:rFonts w:hint="eastAsia"/>
          <w:b/>
          <w:bCs/>
        </w:rPr>
        <w:t>④その他：</w:t>
      </w:r>
      <w:r w:rsidRPr="00093AE4">
        <w:rPr>
          <w:rFonts w:hint="eastAsia"/>
        </w:rPr>
        <w:t>日本語の五十音やアルファベットの指文字を触読して</w:t>
      </w:r>
    </w:p>
    <w:p w14:paraId="207F81FA" w14:textId="225873FD" w:rsidR="00093AE4" w:rsidRPr="00093AE4" w:rsidRDefault="00093AE4" w:rsidP="00093AE4">
      <w:r w:rsidRPr="00093AE4">
        <w:rPr>
          <w:rFonts w:hint="eastAsia"/>
        </w:rPr>
        <w:t>もらう方法.</w:t>
      </w:r>
    </w:p>
    <w:p w14:paraId="56AA0B0B" w14:textId="29AC0469" w:rsidR="00093AE4" w:rsidRPr="00093AE4" w:rsidRDefault="00093AE4" w:rsidP="00093AE4">
      <w:r w:rsidRPr="00093AE4">
        <w:rPr>
          <w:rFonts w:hint="eastAsia"/>
        </w:rPr>
        <w:t xml:space="preserve">　・触読手話(盲ろう者に手話を触読してもらう方法).</w:t>
      </w:r>
    </w:p>
    <w:p w14:paraId="547679D0" w14:textId="77777777" w:rsidR="00093AE4" w:rsidRPr="00093AE4" w:rsidRDefault="00093AE4" w:rsidP="00093AE4">
      <w:r w:rsidRPr="00093AE4">
        <w:rPr>
          <w:rFonts w:hint="eastAsia"/>
        </w:rPr>
        <w:t xml:space="preserve">　・接近手話(視力や視野に配慮しながら至近距離で手話を行う方法).</w:t>
      </w:r>
    </w:p>
    <w:p w14:paraId="602C1214" w14:textId="1A8AD4FA" w:rsidR="00093AE4" w:rsidRPr="00093AE4" w:rsidRDefault="00093AE4" w:rsidP="00BE4CFF">
      <w:pPr>
        <w:rPr>
          <w:color w:val="7030A0"/>
        </w:rPr>
      </w:pPr>
      <w:r w:rsidRPr="00093AE4">
        <w:rPr>
          <w:rFonts w:hint="eastAsia"/>
          <w:b/>
          <w:bCs/>
          <w:color w:val="7030A0"/>
        </w:rPr>
        <w:t>２：知的能力障害，自閉スペクトラム症，肢体不自由あるいは重複障害のある人とのコミュニケーション</w:t>
      </w:r>
    </w:p>
    <w:p w14:paraId="15BE6A3A" w14:textId="685A16A5" w:rsidR="00093AE4" w:rsidRPr="00093AE4" w:rsidRDefault="00093AE4" w:rsidP="00093AE4">
      <w:r w:rsidRPr="00093AE4">
        <w:rPr>
          <w:rFonts w:hint="eastAsia"/>
          <w:b/>
          <w:bCs/>
        </w:rPr>
        <w:t>（１）テクノロジーを使ったコミュニケーション支援について</w:t>
      </w:r>
    </w:p>
    <w:p w14:paraId="44FDE832" w14:textId="2ED02368" w:rsidR="00093AE4" w:rsidRPr="00093AE4" w:rsidRDefault="00093AE4" w:rsidP="00093AE4">
      <w:r w:rsidRPr="00093AE4">
        <w:rPr>
          <w:rFonts w:hint="eastAsia"/>
        </w:rPr>
        <w:t xml:space="preserve">通常の話し言葉や書き言葉のほかに，補助（拡大的）代替コミュニケーションなどを応用する. </w:t>
      </w:r>
    </w:p>
    <w:p w14:paraId="5BC197AF" w14:textId="77777777" w:rsidR="00093AE4" w:rsidRPr="00093AE4" w:rsidRDefault="00093AE4" w:rsidP="00093AE4">
      <w:r w:rsidRPr="00093AE4">
        <w:rPr>
          <w:rFonts w:hint="eastAsia"/>
          <w:b/>
          <w:bCs/>
        </w:rPr>
        <w:t xml:space="preserve">　➀AT（Assistive Technology：支援技術）</w:t>
      </w:r>
    </w:p>
    <w:p w14:paraId="2CE50664" w14:textId="4DD34606" w:rsidR="00093AE4" w:rsidRPr="00093AE4" w:rsidRDefault="00093AE4" w:rsidP="00093AE4">
      <w:r w:rsidRPr="00093AE4">
        <w:rPr>
          <w:rFonts w:hint="eastAsia"/>
        </w:rPr>
        <w:t xml:space="preserve">　　障害がある人の困難の軽減や代替を目的とした</w:t>
      </w:r>
      <w:r w:rsidRPr="00093AE4">
        <w:rPr>
          <w:rFonts w:hint="eastAsia"/>
          <w:color w:val="FF0000"/>
        </w:rPr>
        <w:t>テクノロジー全般</w:t>
      </w:r>
      <w:r w:rsidRPr="00093AE4">
        <w:rPr>
          <w:rFonts w:hint="eastAsia"/>
        </w:rPr>
        <w:t>のこと．</w:t>
      </w:r>
    </w:p>
    <w:p w14:paraId="693300CB" w14:textId="01EB110C" w:rsidR="00093AE4" w:rsidRPr="00093AE4" w:rsidRDefault="00BE4CFF" w:rsidP="00093AE4">
      <w:r>
        <w:rPr>
          <w:b/>
          <w:bCs/>
          <w:noProof/>
        </w:rPr>
        <w:drawing>
          <wp:anchor distT="0" distB="0" distL="114300" distR="114300" simplePos="0" relativeHeight="251662336" behindDoc="1" locked="0" layoutInCell="1" allowOverlap="1" wp14:anchorId="2D02ED89" wp14:editId="068FFED1">
            <wp:simplePos x="0" y="0"/>
            <wp:positionH relativeFrom="column">
              <wp:posOffset>3843655</wp:posOffset>
            </wp:positionH>
            <wp:positionV relativeFrom="paragraph">
              <wp:posOffset>6350</wp:posOffset>
            </wp:positionV>
            <wp:extent cx="2571115" cy="1667787"/>
            <wp:effectExtent l="0" t="0" r="635" b="889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115" cy="16677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3AE4" w:rsidRPr="00093AE4">
        <w:rPr>
          <w:rFonts w:hint="eastAsia"/>
          <w:b/>
          <w:bCs/>
        </w:rPr>
        <w:t xml:space="preserve">　②AAC (Augmentative and Alternative Communication：</w:t>
      </w:r>
    </w:p>
    <w:p w14:paraId="64B25D1C" w14:textId="1EA1DFCD" w:rsidR="00093AE4" w:rsidRPr="00093AE4" w:rsidRDefault="00093AE4" w:rsidP="00093AE4">
      <w:r w:rsidRPr="00093AE4">
        <w:rPr>
          <w:rFonts w:hint="eastAsia"/>
          <w:b/>
          <w:bCs/>
        </w:rPr>
        <w:t xml:space="preserve">　　　　　拡大代替コミュニケーション) </w:t>
      </w:r>
    </w:p>
    <w:p w14:paraId="29AAF48F" w14:textId="77777777" w:rsidR="00093AE4" w:rsidRPr="00093AE4" w:rsidRDefault="00093AE4" w:rsidP="00093AE4">
      <w:r w:rsidRPr="00093AE4">
        <w:rPr>
          <w:rFonts w:hint="eastAsia"/>
        </w:rPr>
        <w:t xml:space="preserve">　　まなざし，指差し（手指し），サイン（身振りや手話），</w:t>
      </w:r>
    </w:p>
    <w:p w14:paraId="1E74CF51" w14:textId="77777777" w:rsidR="00093AE4" w:rsidRPr="00093AE4" w:rsidRDefault="00093AE4" w:rsidP="00093AE4">
      <w:r w:rsidRPr="00093AE4">
        <w:rPr>
          <w:rFonts w:hint="eastAsia"/>
        </w:rPr>
        <w:t xml:space="preserve">　　シンボル（絵記号），写真話し言葉，文字コミュニケー</w:t>
      </w:r>
    </w:p>
    <w:p w14:paraId="02422734" w14:textId="77777777" w:rsidR="00093AE4" w:rsidRPr="00093AE4" w:rsidRDefault="00093AE4" w:rsidP="00093AE4">
      <w:r w:rsidRPr="00093AE4">
        <w:rPr>
          <w:rFonts w:hint="eastAsia"/>
        </w:rPr>
        <w:t xml:space="preserve">　　ションエイド（補助機器）などを使って感情や意思を表</w:t>
      </w:r>
    </w:p>
    <w:p w14:paraId="3EE6A206" w14:textId="77777777" w:rsidR="00093AE4" w:rsidRPr="00093AE4" w:rsidRDefault="00093AE4" w:rsidP="00093AE4">
      <w:r w:rsidRPr="00093AE4">
        <w:rPr>
          <w:rFonts w:hint="eastAsia"/>
        </w:rPr>
        <w:t xml:space="preserve">　　現できるよう支援する手段．</w:t>
      </w:r>
    </w:p>
    <w:p w14:paraId="30E2997F" w14:textId="77777777" w:rsidR="00093AE4" w:rsidRPr="00093AE4" w:rsidRDefault="00093AE4" w:rsidP="00093AE4">
      <w:r w:rsidRPr="00093AE4">
        <w:rPr>
          <w:rFonts w:hint="eastAsia"/>
          <w:b/>
          <w:bCs/>
        </w:rPr>
        <w:t xml:space="preserve">　③VOCA（Voice Output Communication Aids：</w:t>
      </w:r>
    </w:p>
    <w:p w14:paraId="00277B67" w14:textId="77777777" w:rsidR="00093AE4" w:rsidRPr="00093AE4" w:rsidRDefault="00093AE4" w:rsidP="00093AE4">
      <w:r w:rsidRPr="00093AE4">
        <w:rPr>
          <w:rFonts w:hint="eastAsia"/>
          <w:b/>
          <w:bCs/>
        </w:rPr>
        <w:t xml:space="preserve">　　　　　　音声出力会話補助装置）</w:t>
      </w:r>
    </w:p>
    <w:p w14:paraId="2867F0B7" w14:textId="1A77F5F1" w:rsidR="00093AE4" w:rsidRPr="00093AE4" w:rsidRDefault="00093AE4" w:rsidP="00093AE4">
      <w:pPr>
        <w:rPr>
          <w:rFonts w:hint="eastAsia"/>
        </w:rPr>
      </w:pPr>
      <w:r w:rsidRPr="00093AE4">
        <w:rPr>
          <w:rFonts w:hint="eastAsia"/>
        </w:rPr>
        <w:t xml:space="preserve">　　自分の意思を相手に伝えるために使用する，</w:t>
      </w:r>
      <w:r w:rsidRPr="00093AE4">
        <w:rPr>
          <w:rFonts w:hint="eastAsia"/>
          <w:color w:val="FF0000"/>
        </w:rPr>
        <w:t>音声出力機能を備えた装置</w:t>
      </w:r>
      <w:r w:rsidRPr="00093AE4">
        <w:rPr>
          <w:rFonts w:hint="eastAsia"/>
        </w:rPr>
        <w:t>のこと．</w:t>
      </w:r>
    </w:p>
    <w:p w14:paraId="6906AB1E" w14:textId="77777777" w:rsidR="00BE4CFF" w:rsidRPr="00BE4CFF" w:rsidRDefault="00BE4CFF" w:rsidP="00BE4CFF">
      <w:r w:rsidRPr="00BE4CFF">
        <w:rPr>
          <w:rFonts w:hint="eastAsia"/>
          <w:b/>
          <w:bCs/>
        </w:rPr>
        <w:lastRenderedPageBreak/>
        <w:t>（２）絵カード交換式コミュニケーションシステム</w:t>
      </w:r>
    </w:p>
    <w:p w14:paraId="00A45E6A" w14:textId="67FA2B40" w:rsidR="00BE4CFF" w:rsidRPr="00BE4CFF" w:rsidRDefault="00BE4CFF" w:rsidP="00BE4CFF">
      <w:r w:rsidRPr="00BE4CFF">
        <w:rPr>
          <w:rFonts w:hint="eastAsia"/>
          <w:b/>
          <w:bCs/>
        </w:rPr>
        <w:t xml:space="preserve">　　（PECS：Picture Exchange Communication System)</w:t>
      </w:r>
    </w:p>
    <w:p w14:paraId="3CC6BE62" w14:textId="7E43AED0" w:rsidR="00BE4CFF" w:rsidRPr="00BE4CFF" w:rsidRDefault="00BE4CFF" w:rsidP="00BE4CFF">
      <w:pPr>
        <w:rPr>
          <w:color w:val="FF0000"/>
        </w:rPr>
      </w:pPr>
      <w:r w:rsidRPr="00BE4CFF">
        <w:rPr>
          <w:rFonts w:hint="eastAsia"/>
          <w:b/>
          <w:bCs/>
        </w:rPr>
        <w:t xml:space="preserve">　</w:t>
      </w:r>
      <w:r w:rsidRPr="00BE4CFF">
        <w:rPr>
          <w:rFonts w:hint="eastAsia"/>
        </w:rPr>
        <w:t>話し言葉によるコミュニケーションに重度の困難がある</w:t>
      </w:r>
      <w:r w:rsidRPr="00BE4CFF">
        <w:rPr>
          <w:rFonts w:hint="eastAsia"/>
          <w:color w:val="FF0000"/>
        </w:rPr>
        <w:t>自閉症の子どものための</w:t>
      </w:r>
    </w:p>
    <w:p w14:paraId="2F828015" w14:textId="217A075D" w:rsidR="00BE4CFF" w:rsidRPr="00BE4CFF" w:rsidRDefault="00BE4CFF" w:rsidP="00BE4CFF">
      <w:r w:rsidRPr="00BE4CFF">
        <w:rPr>
          <w:noProof/>
          <w:color w:val="FF0000"/>
        </w:rPr>
        <w:drawing>
          <wp:anchor distT="0" distB="0" distL="114300" distR="114300" simplePos="0" relativeHeight="251663360" behindDoc="1" locked="0" layoutInCell="1" allowOverlap="1" wp14:anchorId="29A75F20" wp14:editId="4F76EF12">
            <wp:simplePos x="0" y="0"/>
            <wp:positionH relativeFrom="margin">
              <wp:align>right</wp:align>
            </wp:positionH>
            <wp:positionV relativeFrom="paragraph">
              <wp:posOffset>6350</wp:posOffset>
            </wp:positionV>
            <wp:extent cx="2170430" cy="1628775"/>
            <wp:effectExtent l="0" t="0" r="1270" b="952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0430" cy="1628775"/>
                    </a:xfrm>
                    <a:prstGeom prst="rect">
                      <a:avLst/>
                    </a:prstGeom>
                    <a:noFill/>
                    <a:ln>
                      <a:noFill/>
                    </a:ln>
                  </pic:spPr>
                </pic:pic>
              </a:graphicData>
            </a:graphic>
          </wp:anchor>
        </w:drawing>
      </w:r>
      <w:r w:rsidRPr="00BE4CFF">
        <w:rPr>
          <w:rFonts w:hint="eastAsia"/>
          <w:color w:val="FF0000"/>
        </w:rPr>
        <w:t xml:space="preserve">　拡大・代替コミュニケーション（AAC）</w:t>
      </w:r>
      <w:r w:rsidRPr="00BE4CFF">
        <w:rPr>
          <w:rFonts w:hint="eastAsia"/>
        </w:rPr>
        <w:t>．</w:t>
      </w:r>
    </w:p>
    <w:p w14:paraId="062EF59F" w14:textId="77777777" w:rsidR="00BE4CFF" w:rsidRDefault="00BE4CFF" w:rsidP="00BE4CFF">
      <w:pPr>
        <w:ind w:left="210" w:hangingChars="100" w:hanging="210"/>
      </w:pPr>
      <w:r w:rsidRPr="00BE4CFF">
        <w:rPr>
          <w:rFonts w:hint="eastAsia"/>
        </w:rPr>
        <w:t xml:space="preserve">　アンディ・ボンディ（Andy </w:t>
      </w:r>
      <w:proofErr w:type="spellStart"/>
      <w:r w:rsidRPr="00BE4CFF">
        <w:rPr>
          <w:rFonts w:hint="eastAsia"/>
        </w:rPr>
        <w:t>Bondy</w:t>
      </w:r>
      <w:proofErr w:type="spellEnd"/>
      <w:r w:rsidRPr="00BE4CFF">
        <w:rPr>
          <w:rFonts w:hint="eastAsia"/>
        </w:rPr>
        <w:t>）博士と</w:t>
      </w:r>
    </w:p>
    <w:p w14:paraId="74E19A39" w14:textId="61795140" w:rsidR="00BE4CFF" w:rsidRPr="00BE4CFF" w:rsidRDefault="00BE4CFF" w:rsidP="00BE4CFF">
      <w:pPr>
        <w:ind w:leftChars="100" w:left="210"/>
      </w:pPr>
      <w:r w:rsidRPr="00BE4CFF">
        <w:rPr>
          <w:rFonts w:hint="eastAsia"/>
        </w:rPr>
        <w:t>ロリ・フロスト（Lori Frost）氏により考案された．</w:t>
      </w:r>
    </w:p>
    <w:p w14:paraId="448E64B1" w14:textId="77777777" w:rsidR="00BE4CFF" w:rsidRDefault="00BE4CFF" w:rsidP="00BE4CFF">
      <w:r w:rsidRPr="00BE4CFF">
        <w:rPr>
          <w:rFonts w:hint="eastAsia"/>
        </w:rPr>
        <w:t xml:space="preserve">　PECSでは自閉症の子どもが自分の要求を相手に伝</w:t>
      </w:r>
    </w:p>
    <w:p w14:paraId="16787490" w14:textId="77777777" w:rsidR="00BE4CFF" w:rsidRDefault="00BE4CFF" w:rsidP="00BE4CFF">
      <w:pPr>
        <w:ind w:firstLineChars="100" w:firstLine="210"/>
      </w:pPr>
      <w:r w:rsidRPr="00BE4CFF">
        <w:rPr>
          <w:rFonts w:hint="eastAsia"/>
        </w:rPr>
        <w:t>えることや、コミュニケーションの自発が重視され</w:t>
      </w:r>
    </w:p>
    <w:p w14:paraId="669CE040" w14:textId="354440D8" w:rsidR="00BE4CFF" w:rsidRPr="00BE4CFF" w:rsidRDefault="00BE4CFF" w:rsidP="00BE4CFF">
      <w:pPr>
        <w:ind w:firstLineChars="100" w:firstLine="210"/>
      </w:pPr>
      <w:r w:rsidRPr="00BE4CFF">
        <w:rPr>
          <w:rFonts w:hint="eastAsia"/>
        </w:rPr>
        <w:t>ている。</w:t>
      </w:r>
    </w:p>
    <w:p w14:paraId="2F6DA75F" w14:textId="77777777" w:rsidR="00BE4CFF" w:rsidRDefault="00BE4CFF" w:rsidP="00BE4CFF">
      <w:pPr>
        <w:ind w:left="210" w:hangingChars="100" w:hanging="210"/>
      </w:pPr>
      <w:r w:rsidRPr="00BE4CFF">
        <w:rPr>
          <w:rFonts w:hint="eastAsia"/>
        </w:rPr>
        <w:t xml:space="preserve">　また，その指導法は応用行動分析(ABA)と</w:t>
      </w:r>
    </w:p>
    <w:p w14:paraId="5F71A72B" w14:textId="261C86D7" w:rsidR="00BE4CFF" w:rsidRPr="00BE4CFF" w:rsidRDefault="00BE4CFF" w:rsidP="00BE4CFF">
      <w:pPr>
        <w:ind w:leftChars="100" w:left="210"/>
      </w:pPr>
      <w:r w:rsidRPr="00BE4CFF">
        <w:rPr>
          <w:rFonts w:hint="eastAsia"/>
        </w:rPr>
        <w:t>言語行動(Verbal Behavior)</w:t>
      </w:r>
      <w:r>
        <w:rPr>
          <w:rFonts w:hint="eastAsia"/>
        </w:rPr>
        <w:t>の</w:t>
      </w:r>
      <w:r w:rsidRPr="00BE4CFF">
        <w:rPr>
          <w:rFonts w:hint="eastAsia"/>
        </w:rPr>
        <w:t>影響を大きく受けている。</w:t>
      </w:r>
    </w:p>
    <w:p w14:paraId="76167C4F" w14:textId="77777777" w:rsidR="00BE4CFF" w:rsidRDefault="00BE4CFF" w:rsidP="00BE4CFF"/>
    <w:p w14:paraId="08CA1E37" w14:textId="38036A6C" w:rsidR="00BE4CFF" w:rsidRPr="00BE4CFF" w:rsidRDefault="00BE4CFF" w:rsidP="00BE4CFF">
      <w:r w:rsidRPr="00BE4CFF">
        <w:rPr>
          <w:rFonts w:hint="eastAsia"/>
        </w:rPr>
        <w:t>PECSの学習ステップは６つに分かれていて，それぞれがフェーズと呼ばれる．</w:t>
      </w:r>
    </w:p>
    <w:p w14:paraId="10B31A05" w14:textId="3C36F2E6" w:rsidR="00BE4CFF" w:rsidRPr="00BE4CFF" w:rsidRDefault="00BE4CFF" w:rsidP="00BE4CFF">
      <w:r w:rsidRPr="00BE4CFF">
        <w:rPr>
          <w:rFonts w:hint="eastAsia"/>
          <w:b/>
          <w:bCs/>
        </w:rPr>
        <w:t xml:space="preserve">　➀フェーズⅠ　コミュニケーションの自発</w:t>
      </w:r>
      <w:r w:rsidRPr="00BE4CFF">
        <w:rPr>
          <w:rFonts w:hint="eastAsia"/>
        </w:rPr>
        <w:br/>
        <w:t xml:space="preserve">　　子どもが「絵カード」を取って，正面の人の掌にその</w:t>
      </w:r>
      <w:r w:rsidRPr="00BE4CFF">
        <w:rPr>
          <w:rFonts w:hint="eastAsia"/>
          <w:color w:val="FF0000"/>
        </w:rPr>
        <w:t>「絵カード」を渡すこと</w:t>
      </w:r>
      <w:r w:rsidRPr="00BE4CFF">
        <w:rPr>
          <w:rFonts w:hint="eastAsia"/>
        </w:rPr>
        <w:t>を教える．</w:t>
      </w:r>
    </w:p>
    <w:p w14:paraId="41F9F5C7" w14:textId="77777777" w:rsidR="00BE4CFF" w:rsidRPr="00BE4CFF" w:rsidRDefault="00BE4CFF" w:rsidP="00BE4CFF">
      <w:r w:rsidRPr="00BE4CFF">
        <w:rPr>
          <w:rFonts w:hint="eastAsia"/>
          <w:b/>
          <w:bCs/>
        </w:rPr>
        <w:t xml:space="preserve">　②フェーズⅡ　絵カード使用の拡大</w:t>
      </w:r>
      <w:r w:rsidRPr="00BE4CFF">
        <w:rPr>
          <w:rFonts w:hint="eastAsia"/>
        </w:rPr>
        <w:br/>
        <w:t xml:space="preserve">　　子どもが自分から離れた場所にある「絵カード」を取って、離れた場所にいる人の掌　</w:t>
      </w:r>
    </w:p>
    <w:p w14:paraId="2D56A378" w14:textId="77777777" w:rsidR="00BE4CFF" w:rsidRPr="00BE4CFF" w:rsidRDefault="00BE4CFF" w:rsidP="00BE4CFF">
      <w:r w:rsidRPr="00BE4CFF">
        <w:rPr>
          <w:rFonts w:hint="eastAsia"/>
        </w:rPr>
        <w:t xml:space="preserve">　　に「絵カード」を渡すことを教える．</w:t>
      </w:r>
    </w:p>
    <w:p w14:paraId="6FC9F3B4" w14:textId="77777777" w:rsidR="00BE4CFF" w:rsidRPr="00BE4CFF" w:rsidRDefault="00BE4CFF" w:rsidP="00BE4CFF">
      <w:pPr>
        <w:rPr>
          <w:color w:val="FF0000"/>
        </w:rPr>
      </w:pPr>
      <w:r w:rsidRPr="00BE4CFF">
        <w:rPr>
          <w:rFonts w:hint="eastAsia"/>
          <w:b/>
          <w:bCs/>
        </w:rPr>
        <w:t xml:space="preserve">　③フェーズⅢ　メッセージの選択</w:t>
      </w:r>
      <w:r w:rsidRPr="00BE4CFF">
        <w:rPr>
          <w:rFonts w:hint="eastAsia"/>
        </w:rPr>
        <w:br/>
        <w:t xml:space="preserve">　　複数の絵カードが貼られているコミュニケーション・ブックから絵カードを</w:t>
      </w:r>
      <w:r w:rsidRPr="00BE4CFF">
        <w:rPr>
          <w:rFonts w:hint="eastAsia"/>
          <w:color w:val="FF0000"/>
        </w:rPr>
        <w:t>選んで使</w:t>
      </w:r>
    </w:p>
    <w:p w14:paraId="31973AAD" w14:textId="77777777" w:rsidR="00BE4CFF" w:rsidRPr="00BE4CFF" w:rsidRDefault="00BE4CFF" w:rsidP="00BE4CFF">
      <w:r w:rsidRPr="00BE4CFF">
        <w:rPr>
          <w:rFonts w:hint="eastAsia"/>
          <w:color w:val="FF0000"/>
        </w:rPr>
        <w:t xml:space="preserve">　　う事</w:t>
      </w:r>
      <w:r w:rsidRPr="00BE4CFF">
        <w:rPr>
          <w:rFonts w:hint="eastAsia"/>
        </w:rPr>
        <w:t>を教える．</w:t>
      </w:r>
    </w:p>
    <w:p w14:paraId="11B2C31C" w14:textId="77777777" w:rsidR="00BE4CFF" w:rsidRPr="00BE4CFF" w:rsidRDefault="00BE4CFF" w:rsidP="00BE4CFF">
      <w:r w:rsidRPr="00BE4CFF">
        <w:rPr>
          <w:rFonts w:hint="eastAsia"/>
          <w:b/>
          <w:bCs/>
        </w:rPr>
        <w:t xml:space="preserve">　④フェーズⅣa　文構文の導入</w:t>
      </w:r>
      <w:r w:rsidRPr="00BE4CFF">
        <w:rPr>
          <w:rFonts w:hint="eastAsia"/>
        </w:rPr>
        <w:br/>
        <w:t xml:space="preserve">　　「私が欲しいのは」、「何々」というように</w:t>
      </w:r>
      <w:r w:rsidRPr="00BE4CFF">
        <w:rPr>
          <w:rFonts w:hint="eastAsia"/>
          <w:color w:val="FF0000"/>
        </w:rPr>
        <w:t>文構文</w:t>
      </w:r>
      <w:r w:rsidRPr="00BE4CFF">
        <w:rPr>
          <w:rFonts w:hint="eastAsia"/>
        </w:rPr>
        <w:t>を教える．</w:t>
      </w:r>
    </w:p>
    <w:p w14:paraId="11F3CEDC" w14:textId="77777777" w:rsidR="00BE4CFF" w:rsidRPr="00BE4CFF" w:rsidRDefault="00BE4CFF" w:rsidP="00BE4CFF">
      <w:r w:rsidRPr="00BE4CFF">
        <w:rPr>
          <w:rFonts w:hint="eastAsia"/>
          <w:b/>
          <w:bCs/>
        </w:rPr>
        <w:t xml:space="preserve">　⑤フェーズⅣb 属性を使った要求の拡大</w:t>
      </w:r>
      <w:r w:rsidRPr="00BE4CFF">
        <w:rPr>
          <w:rFonts w:hint="eastAsia"/>
        </w:rPr>
        <w:br/>
        <w:t xml:space="preserve">　　色，大きさ，形といった属性を含めて</w:t>
      </w:r>
      <w:r w:rsidRPr="00BE4CFF">
        <w:rPr>
          <w:rFonts w:hint="eastAsia"/>
          <w:color w:val="FF0000"/>
        </w:rPr>
        <w:t>構文を作る事</w:t>
      </w:r>
      <w:r w:rsidRPr="00BE4CFF">
        <w:rPr>
          <w:rFonts w:hint="eastAsia"/>
        </w:rPr>
        <w:t>を教える．</w:t>
      </w:r>
    </w:p>
    <w:p w14:paraId="51537E8D" w14:textId="77777777" w:rsidR="00BE4CFF" w:rsidRPr="00BE4CFF" w:rsidRDefault="00BE4CFF" w:rsidP="00BE4CFF">
      <w:r w:rsidRPr="00BE4CFF">
        <w:rPr>
          <w:rFonts w:hint="eastAsia"/>
          <w:b/>
          <w:bCs/>
        </w:rPr>
        <w:t xml:space="preserve">　⑥フェーズⅤ 簡単な質問への応答</w:t>
      </w:r>
      <w:r w:rsidRPr="00BE4CFF">
        <w:rPr>
          <w:rFonts w:hint="eastAsia"/>
        </w:rPr>
        <w:br/>
        <w:t xml:space="preserve">　　「何が欲しいの？」に</w:t>
      </w:r>
      <w:r w:rsidRPr="00BE4CFF">
        <w:rPr>
          <w:rFonts w:hint="eastAsia"/>
          <w:color w:val="FF0000"/>
        </w:rPr>
        <w:t>答える事</w:t>
      </w:r>
      <w:r w:rsidRPr="00BE4CFF">
        <w:rPr>
          <w:rFonts w:hint="eastAsia"/>
        </w:rPr>
        <w:t>を教える．</w:t>
      </w:r>
    </w:p>
    <w:p w14:paraId="0B2ABCA5" w14:textId="23112C69" w:rsidR="00BE4CFF" w:rsidRDefault="00BE4CFF" w:rsidP="00BE4CFF">
      <w:r w:rsidRPr="00BE4CFF">
        <w:rPr>
          <w:rFonts w:hint="eastAsia"/>
          <w:b/>
          <w:bCs/>
        </w:rPr>
        <w:t xml:space="preserve">　⑦フェーズⅥ　コメント</w:t>
      </w:r>
      <w:r w:rsidRPr="00BE4CFF">
        <w:rPr>
          <w:rFonts w:hint="eastAsia"/>
        </w:rPr>
        <w:br/>
        <w:t xml:space="preserve">　　周囲にある出来事についての質問に答える事や，自発的にコメントする事を教える．</w:t>
      </w:r>
    </w:p>
    <w:p w14:paraId="418F5191" w14:textId="77777777" w:rsidR="00BE4CFF" w:rsidRPr="00BE4CFF" w:rsidRDefault="00BE4CFF" w:rsidP="00BE4CFF">
      <w:r w:rsidRPr="00BE4CFF">
        <w:rPr>
          <w:rFonts w:hint="eastAsia"/>
          <w:b/>
          <w:bCs/>
        </w:rPr>
        <w:t>（３）TEACCH プログラム（Treatment and Education of Autistic and related　Communication-handicapped Children）</w:t>
      </w:r>
    </w:p>
    <w:p w14:paraId="3238F574" w14:textId="77777777" w:rsidR="00BE4CFF" w:rsidRPr="00BE4CFF" w:rsidRDefault="00BE4CFF" w:rsidP="00BE4CFF">
      <w:r w:rsidRPr="00BE4CFF">
        <w:rPr>
          <w:rFonts w:hint="eastAsia"/>
          <w:b/>
          <w:bCs/>
        </w:rPr>
        <w:t>（自閉症及び、それに準ずるコミュニケーション課題を抱える子ども向けのケアと教育）</w:t>
      </w:r>
    </w:p>
    <w:p w14:paraId="4E2D2B72" w14:textId="4EB9A750" w:rsidR="00BE4CFF" w:rsidRPr="00BE4CFF" w:rsidRDefault="00BE4CFF" w:rsidP="00BE4CFF">
      <w:pPr>
        <w:pStyle w:val="a3"/>
        <w:numPr>
          <w:ilvl w:val="0"/>
          <w:numId w:val="5"/>
        </w:numPr>
        <w:ind w:leftChars="0"/>
      </w:pPr>
      <w:r w:rsidRPr="00BE4CFF">
        <w:rPr>
          <w:rFonts w:hint="eastAsia"/>
          <w:b/>
          <w:bCs/>
        </w:rPr>
        <w:t>TEACCHとは</w:t>
      </w:r>
    </w:p>
    <w:p w14:paraId="3746F289" w14:textId="49E419AC" w:rsidR="00BE4CFF" w:rsidRPr="00BE4CFF" w:rsidRDefault="00BE4CFF" w:rsidP="00BE4CFF">
      <w:pPr>
        <w:ind w:left="420" w:hangingChars="200" w:hanging="420"/>
      </w:pPr>
      <w:r w:rsidRPr="00BE4CFF">
        <w:rPr>
          <w:rFonts w:hint="eastAsia"/>
        </w:rPr>
        <w:t xml:space="preserve">　　アメリカのノースカロライナ州立大学を基盤に実践されている，自閉症の方々やそのご家族、支援者を対象にした包括的なプログラム．</w:t>
      </w:r>
    </w:p>
    <w:p w14:paraId="76269544" w14:textId="42C77A10" w:rsidR="00BE4CFF" w:rsidRPr="00BE4CFF" w:rsidRDefault="00BE4CFF" w:rsidP="00BE4CFF">
      <w:pPr>
        <w:ind w:left="420" w:hangingChars="200" w:hanging="420"/>
      </w:pPr>
      <w:r w:rsidRPr="00BE4CFF">
        <w:rPr>
          <w:rFonts w:hint="eastAsia"/>
        </w:rPr>
        <w:t xml:space="preserve">　　ASDの人々が持つ「コミュニケーションの困難」「視覚優位」「こだわりの強さ」など</w:t>
      </w:r>
      <w:r w:rsidRPr="00BE4CFF">
        <w:rPr>
          <w:rFonts w:hint="eastAsia"/>
        </w:rPr>
        <w:lastRenderedPageBreak/>
        <w:t>の特徴のことを，「自閉症の文化」（Culture of Autism）と肯定的に表現する．</w:t>
      </w:r>
    </w:p>
    <w:p w14:paraId="4139489D" w14:textId="4066DD1E" w:rsidR="00BE4CFF" w:rsidRPr="00BE4CFF" w:rsidRDefault="00BE4CFF" w:rsidP="00BE4CFF">
      <w:r w:rsidRPr="00BE4CFF">
        <w:rPr>
          <w:rFonts w:hint="eastAsia"/>
        </w:rPr>
        <w:t xml:space="preserve">　　　TEACCHの「構造化のアイデア」 　　</w:t>
      </w:r>
    </w:p>
    <w:p w14:paraId="4DA39310" w14:textId="77777777" w:rsidR="00BE4CFF" w:rsidRPr="00BE4CFF" w:rsidRDefault="00BE4CFF" w:rsidP="00BE4CFF">
      <w:r w:rsidRPr="00BE4CFF">
        <w:rPr>
          <w:rFonts w:hint="eastAsia"/>
        </w:rPr>
        <w:t xml:space="preserve">　　　　物理的構造化 　　</w:t>
      </w:r>
    </w:p>
    <w:p w14:paraId="174DB976" w14:textId="0B60A020" w:rsidR="00BE4CFF" w:rsidRPr="00BE4CFF" w:rsidRDefault="00BE4CFF" w:rsidP="00BE4CFF">
      <w:r w:rsidRPr="00BE4CFF">
        <w:rPr>
          <w:rFonts w:hint="eastAsia"/>
        </w:rPr>
        <w:t xml:space="preserve">　　　　個別のスケジュール化 　　 　　</w:t>
      </w:r>
    </w:p>
    <w:p w14:paraId="1BD0A5E2" w14:textId="77777777" w:rsidR="00BE4CFF" w:rsidRPr="00BE4CFF" w:rsidRDefault="00BE4CFF" w:rsidP="00BE4CFF">
      <w:r w:rsidRPr="00BE4CFF">
        <w:rPr>
          <w:rFonts w:hint="eastAsia"/>
        </w:rPr>
        <w:t xml:space="preserve">　　　　ワークシステム 　　</w:t>
      </w:r>
    </w:p>
    <w:p w14:paraId="64E17D3A" w14:textId="2BA2B564" w:rsidR="00BE4CFF" w:rsidRPr="00BE4CFF" w:rsidRDefault="00BE4CFF" w:rsidP="00BE4CFF">
      <w:pPr>
        <w:rPr>
          <w:rFonts w:hint="eastAsia"/>
        </w:rPr>
      </w:pPr>
      <w:r w:rsidRPr="00BE4CFF">
        <w:rPr>
          <w:rFonts w:hint="eastAsia"/>
        </w:rPr>
        <w:t xml:space="preserve">　　　　視覚的構造化</w:t>
      </w:r>
    </w:p>
    <w:p w14:paraId="368A68D2" w14:textId="3F0C3FBF" w:rsidR="00093AE4" w:rsidRPr="00093AE4" w:rsidRDefault="00093AE4" w:rsidP="00BE4CFF">
      <w:pPr>
        <w:ind w:firstLineChars="100" w:firstLine="206"/>
      </w:pPr>
      <w:r w:rsidRPr="00093AE4">
        <w:rPr>
          <w:rFonts w:hint="eastAsia"/>
          <w:b/>
          <w:bCs/>
        </w:rPr>
        <w:t>②TEACCHとABA（応用行動分析）の違いと関係性</w:t>
      </w:r>
    </w:p>
    <w:p w14:paraId="76E406C2" w14:textId="77777777" w:rsidR="00093AE4" w:rsidRPr="00093AE4" w:rsidRDefault="00093AE4" w:rsidP="00093AE4">
      <w:r w:rsidRPr="00093AE4">
        <w:rPr>
          <w:rFonts w:hint="eastAsia"/>
        </w:rPr>
        <w:t xml:space="preserve">　　</w:t>
      </w:r>
      <w:r w:rsidRPr="00093AE4">
        <w:rPr>
          <w:rFonts w:hint="eastAsia"/>
          <w:b/>
          <w:bCs/>
        </w:rPr>
        <w:t>・TEACCH</w:t>
      </w:r>
    </w:p>
    <w:p w14:paraId="69AEA5B3" w14:textId="39380590" w:rsidR="00BE4CFF" w:rsidRDefault="00093AE4" w:rsidP="00093AE4">
      <w:r w:rsidRPr="00093AE4">
        <w:rPr>
          <w:rFonts w:hint="eastAsia"/>
        </w:rPr>
        <w:t xml:space="preserve">　　　ASDの人々の自立とQOL向上を目指す包括的「支援の枠組み」であるため，</w:t>
      </w:r>
    </w:p>
    <w:p w14:paraId="5FBDF122" w14:textId="39D98ACD" w:rsidR="00093AE4" w:rsidRPr="00093AE4" w:rsidRDefault="00093AE4" w:rsidP="00BE4CFF">
      <w:pPr>
        <w:ind w:firstLineChars="300" w:firstLine="630"/>
      </w:pPr>
      <w:r w:rsidRPr="00093AE4">
        <w:rPr>
          <w:rFonts w:hint="eastAsia"/>
        </w:rPr>
        <w:t>厳密には比較できるものではない．</w:t>
      </w:r>
    </w:p>
    <w:p w14:paraId="14D87E85" w14:textId="77777777" w:rsidR="00093AE4" w:rsidRPr="00093AE4" w:rsidRDefault="00093AE4" w:rsidP="00093AE4">
      <w:r w:rsidRPr="00093AE4">
        <w:rPr>
          <w:rFonts w:hint="eastAsia"/>
        </w:rPr>
        <w:t xml:space="preserve">　　</w:t>
      </w:r>
      <w:r w:rsidRPr="00093AE4">
        <w:rPr>
          <w:rFonts w:hint="eastAsia"/>
          <w:b/>
          <w:bCs/>
        </w:rPr>
        <w:t>・ABA</w:t>
      </w:r>
    </w:p>
    <w:p w14:paraId="23BDE659" w14:textId="7D113C3A" w:rsidR="00BE4CFF" w:rsidRDefault="00093AE4" w:rsidP="00093AE4">
      <w:r w:rsidRPr="00093AE4">
        <w:rPr>
          <w:rFonts w:hint="eastAsia"/>
        </w:rPr>
        <w:t xml:space="preserve">　　　人間の行動を個人と環境の相互作用の枠組みの中で分析し，実社会の諸問題の</w:t>
      </w:r>
    </w:p>
    <w:p w14:paraId="03CCDE56" w14:textId="158B8018" w:rsidR="00093AE4" w:rsidRPr="00093AE4" w:rsidRDefault="00093AE4" w:rsidP="00BE4CFF">
      <w:pPr>
        <w:ind w:firstLineChars="300" w:firstLine="630"/>
      </w:pPr>
      <w:r w:rsidRPr="00093AE4">
        <w:rPr>
          <w:rFonts w:hint="eastAsia"/>
        </w:rPr>
        <w:t>解決に応用していく理論と実践の体系.</w:t>
      </w:r>
    </w:p>
    <w:p w14:paraId="66ACAC6C" w14:textId="7DA036A9" w:rsidR="00BE4CFF" w:rsidRDefault="00093AE4" w:rsidP="00093AE4">
      <w:r w:rsidRPr="00093AE4">
        <w:rPr>
          <w:rFonts w:hint="eastAsia"/>
          <w:b/>
          <w:bCs/>
          <w:color w:val="7030A0"/>
        </w:rPr>
        <w:t>３：知的能力障害・自閉スペクトラム症・肢体不自由あるいは重複障害のある人とのコミュニケーション</w:t>
      </w:r>
      <w:r w:rsidRPr="00093AE4">
        <w:rPr>
          <w:rFonts w:hint="eastAsia"/>
          <w:b/>
          <w:bCs/>
          <w:color w:val="7030A0"/>
        </w:rPr>
        <w:br/>
      </w:r>
      <w:r w:rsidRPr="00093AE4">
        <w:rPr>
          <w:rFonts w:hint="eastAsia"/>
        </w:rPr>
        <w:t xml:space="preserve">　</w:t>
      </w:r>
      <w:r w:rsidRPr="00093AE4">
        <w:rPr>
          <w:rFonts w:hint="eastAsia"/>
          <w:b/>
          <w:bCs/>
        </w:rPr>
        <w:t>（１）口腔ケア現場でのコミュニケーションを支援する方法 </w:t>
      </w:r>
      <w:r w:rsidRPr="00093AE4">
        <w:rPr>
          <w:rFonts w:hint="eastAsia"/>
        </w:rPr>
        <w:t xml:space="preserve">　</w:t>
      </w:r>
      <w:r w:rsidRPr="00093AE4">
        <w:rPr>
          <w:rFonts w:hint="eastAsia"/>
        </w:rPr>
        <w:br/>
        <w:t xml:space="preserve">　　　知的能力障害や自閉スペクトラム症の人では，聴覚的情報よりも視覚的情報のほう</w:t>
      </w:r>
      <w:r w:rsidR="00BE4CFF">
        <w:rPr>
          <w:rFonts w:hint="eastAsia"/>
        </w:rPr>
        <w:t xml:space="preserve">　　</w:t>
      </w:r>
    </w:p>
    <w:p w14:paraId="630DDECF" w14:textId="53871862" w:rsidR="00BE4CFF" w:rsidRPr="00BE4CFF" w:rsidRDefault="00093AE4" w:rsidP="00BE4CFF">
      <w:pPr>
        <w:ind w:firstLineChars="300" w:firstLine="630"/>
        <w:rPr>
          <w:color w:val="FF0000"/>
        </w:rPr>
      </w:pPr>
      <w:r w:rsidRPr="00093AE4">
        <w:rPr>
          <w:rFonts w:hint="eastAsia"/>
        </w:rPr>
        <w:t>が伝わりやすい特徴がある．</w:t>
      </w:r>
      <w:r w:rsidRPr="00093AE4">
        <w:rPr>
          <w:rFonts w:hint="eastAsia"/>
        </w:rPr>
        <w:br/>
        <w:t xml:space="preserve">　　　視覚支援法やサイン（手話に似た手の動き）とシンボル（記号）を組み合わせた</w:t>
      </w:r>
      <w:r w:rsidRPr="00093AE4">
        <w:rPr>
          <w:rFonts w:hint="eastAsia"/>
          <w:color w:val="FF0000"/>
        </w:rPr>
        <w:t>マカ</w:t>
      </w:r>
      <w:r w:rsidR="00BE4CFF" w:rsidRPr="00BE4CFF">
        <w:rPr>
          <w:rFonts w:hint="eastAsia"/>
          <w:color w:val="FF0000"/>
        </w:rPr>
        <w:t xml:space="preserve">　　</w:t>
      </w:r>
    </w:p>
    <w:p w14:paraId="0BA61079" w14:textId="26715310" w:rsidR="00BE4CFF" w:rsidRDefault="00093AE4" w:rsidP="00BE4CFF">
      <w:pPr>
        <w:ind w:firstLineChars="300" w:firstLine="630"/>
      </w:pPr>
      <w:r w:rsidRPr="00093AE4">
        <w:rPr>
          <w:rFonts w:hint="eastAsia"/>
          <w:color w:val="FF0000"/>
        </w:rPr>
        <w:t>トン法</w:t>
      </w:r>
      <w:r w:rsidRPr="00093AE4">
        <w:rPr>
          <w:rFonts w:hint="eastAsia"/>
        </w:rPr>
        <w:t>なども応用されている．</w:t>
      </w:r>
      <w:r w:rsidRPr="00093AE4">
        <w:rPr>
          <w:rFonts w:hint="eastAsia"/>
        </w:rPr>
        <w:br/>
        <w:t xml:space="preserve">　</w:t>
      </w:r>
      <w:r w:rsidRPr="00093AE4">
        <w:rPr>
          <w:rFonts w:hint="eastAsia"/>
        </w:rPr>
        <w:br/>
        <w:t xml:space="preserve">　　　さらに筆談器，文字盤，意思表示のシンボルを一覧にした「コミュニケーション支援</w:t>
      </w:r>
      <w:r w:rsidR="00BE4CFF">
        <w:rPr>
          <w:rFonts w:hint="eastAsia"/>
        </w:rPr>
        <w:t xml:space="preserve">　</w:t>
      </w:r>
    </w:p>
    <w:p w14:paraId="01490610" w14:textId="09D0158A" w:rsidR="00093AE4" w:rsidRPr="00093AE4" w:rsidRDefault="00093AE4" w:rsidP="00BE4CFF">
      <w:pPr>
        <w:ind w:firstLineChars="300" w:firstLine="630"/>
      </w:pPr>
      <w:r w:rsidRPr="00093AE4">
        <w:rPr>
          <w:rFonts w:hint="eastAsia"/>
        </w:rPr>
        <w:t>ボード」，人工音声の出るキーを押して意思を表現する機器なども用いられる．</w:t>
      </w:r>
    </w:p>
    <w:p w14:paraId="697A5752" w14:textId="30C40591" w:rsidR="00093AE4" w:rsidRPr="00093AE4" w:rsidRDefault="00093AE4" w:rsidP="00093AE4">
      <w:r w:rsidRPr="00093AE4">
        <w:rPr>
          <w:rFonts w:hint="eastAsia"/>
          <w:b/>
          <w:bCs/>
        </w:rPr>
        <w:t>補足：マカトン法</w:t>
      </w:r>
    </w:p>
    <w:p w14:paraId="1574D7E2" w14:textId="408B6BCE" w:rsidR="00093AE4" w:rsidRPr="00093AE4" w:rsidRDefault="00093AE4" w:rsidP="00093AE4">
      <w:r w:rsidRPr="00093AE4">
        <w:rPr>
          <w:rFonts w:hint="eastAsia"/>
        </w:rPr>
        <w:t xml:space="preserve">　ことばや精神の発達に遅れのある人の対話のために，イギリスで考案された，</w:t>
      </w:r>
    </w:p>
    <w:p w14:paraId="3E8AB80B" w14:textId="2969D2D6" w:rsidR="00093AE4" w:rsidRPr="00093AE4" w:rsidRDefault="00093AE4" w:rsidP="00093AE4">
      <w:r w:rsidRPr="00093AE4">
        <w:rPr>
          <w:rFonts w:hint="eastAsia"/>
        </w:rPr>
        <w:t xml:space="preserve">　</w:t>
      </w:r>
      <w:r w:rsidRPr="00093AE4">
        <w:rPr>
          <w:rFonts w:hint="eastAsia"/>
          <w:color w:val="FF0000"/>
        </w:rPr>
        <w:t>手話法をルーツにしたコミュニケーション法</w:t>
      </w:r>
      <w:r w:rsidRPr="00093AE4">
        <w:rPr>
          <w:rFonts w:hint="eastAsia"/>
        </w:rPr>
        <w:t>．</w:t>
      </w:r>
    </w:p>
    <w:p w14:paraId="6AC347A6" w14:textId="72B82AD1" w:rsidR="00093AE4" w:rsidRPr="00093AE4" w:rsidRDefault="00093AE4" w:rsidP="00093AE4">
      <w:r w:rsidRPr="00093AE4">
        <w:rPr>
          <w:rFonts w:hint="eastAsia"/>
        </w:rPr>
        <w:t xml:space="preserve">　　無発語の自閉症児、重度の精神遅滞児、に対する非音声系の補助手段．</w:t>
      </w:r>
    </w:p>
    <w:p w14:paraId="60A09A59" w14:textId="54D282EF" w:rsidR="00093AE4" w:rsidRPr="00093AE4" w:rsidRDefault="00093AE4" w:rsidP="00093AE4">
      <w:r w:rsidRPr="00093AE4">
        <w:rPr>
          <w:rFonts w:hint="eastAsia"/>
        </w:rPr>
        <w:t xml:space="preserve">　手の動きによる</w:t>
      </w:r>
      <w:r w:rsidRPr="00093AE4">
        <w:rPr>
          <w:rFonts w:hint="eastAsia"/>
          <w:color w:val="FF0000"/>
        </w:rPr>
        <w:t>サイン</w:t>
      </w:r>
      <w:r w:rsidRPr="00093AE4">
        <w:rPr>
          <w:rFonts w:hint="eastAsia"/>
        </w:rPr>
        <w:t>，</w:t>
      </w:r>
      <w:r w:rsidRPr="00093AE4">
        <w:rPr>
          <w:rFonts w:hint="eastAsia"/>
          <w:color w:val="FF0000"/>
        </w:rPr>
        <w:t>シンボル</w:t>
      </w:r>
      <w:r w:rsidRPr="00093AE4">
        <w:rPr>
          <w:rFonts w:hint="eastAsia"/>
        </w:rPr>
        <w:t>，</w:t>
      </w:r>
      <w:r w:rsidRPr="00093AE4">
        <w:rPr>
          <w:rFonts w:hint="eastAsia"/>
          <w:color w:val="FF0000"/>
        </w:rPr>
        <w:t>発声</w:t>
      </w:r>
      <w:r w:rsidRPr="00093AE4">
        <w:rPr>
          <w:rFonts w:hint="eastAsia"/>
        </w:rPr>
        <w:t>を同時に用いるのが特徴．</w:t>
      </w:r>
    </w:p>
    <w:p w14:paraId="0C4E2984" w14:textId="3FB39102" w:rsidR="00093AE4" w:rsidRPr="00093AE4" w:rsidRDefault="00383DB5" w:rsidP="00093AE4">
      <w:r>
        <w:rPr>
          <w:noProof/>
        </w:rPr>
        <w:drawing>
          <wp:anchor distT="0" distB="0" distL="114300" distR="114300" simplePos="0" relativeHeight="251664384" behindDoc="1" locked="0" layoutInCell="1" allowOverlap="1" wp14:anchorId="741A40C0" wp14:editId="7CC7306F">
            <wp:simplePos x="0" y="0"/>
            <wp:positionH relativeFrom="column">
              <wp:posOffset>3940175</wp:posOffset>
            </wp:positionH>
            <wp:positionV relativeFrom="paragraph">
              <wp:posOffset>139700</wp:posOffset>
            </wp:positionV>
            <wp:extent cx="1932510" cy="180022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251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3AE4" w:rsidRPr="00093AE4">
        <w:rPr>
          <w:rFonts w:hint="eastAsia"/>
        </w:rPr>
        <w:t xml:space="preserve">　</w:t>
      </w:r>
    </w:p>
    <w:p w14:paraId="2D9B76FC" w14:textId="17354F20" w:rsidR="00093AE4" w:rsidRPr="00093AE4" w:rsidRDefault="00093AE4" w:rsidP="00383DB5">
      <w:pPr>
        <w:tabs>
          <w:tab w:val="left" w:pos="6720"/>
        </w:tabs>
      </w:pPr>
      <w:r w:rsidRPr="00093AE4">
        <w:rPr>
          <w:rFonts w:hint="eastAsia"/>
        </w:rPr>
        <w:t xml:space="preserve">　核語彙と呼ばれる330のことばから、個人の発達やニーズ</w:t>
      </w:r>
      <w:r w:rsidR="00383DB5">
        <w:tab/>
      </w:r>
    </w:p>
    <w:p w14:paraId="403066B5" w14:textId="77777777" w:rsidR="00093AE4" w:rsidRPr="00093AE4" w:rsidRDefault="00093AE4" w:rsidP="00093AE4">
      <w:r w:rsidRPr="00093AE4">
        <w:rPr>
          <w:rFonts w:hint="eastAsia"/>
        </w:rPr>
        <w:t xml:space="preserve">　に合わせて語彙を選ぶ．</w:t>
      </w:r>
    </w:p>
    <w:p w14:paraId="1BE0FA55" w14:textId="77777777" w:rsidR="00093AE4" w:rsidRPr="00093AE4" w:rsidRDefault="00093AE4" w:rsidP="00093AE4">
      <w:r w:rsidRPr="00093AE4">
        <w:rPr>
          <w:rFonts w:hint="eastAsia"/>
        </w:rPr>
        <w:t xml:space="preserve">　生活の中で繰り返し使うことでコミュニケーションを促進</w:t>
      </w:r>
    </w:p>
    <w:p w14:paraId="20F05AC9" w14:textId="77777777" w:rsidR="00093AE4" w:rsidRPr="00093AE4" w:rsidRDefault="00093AE4" w:rsidP="00093AE4">
      <w:r w:rsidRPr="00093AE4">
        <w:rPr>
          <w:rFonts w:hint="eastAsia"/>
        </w:rPr>
        <w:t xml:space="preserve">　する．</w:t>
      </w:r>
    </w:p>
    <w:p w14:paraId="3FD78492" w14:textId="77777777" w:rsidR="00093AE4" w:rsidRPr="00093AE4" w:rsidRDefault="00093AE4" w:rsidP="00093AE4">
      <w:r w:rsidRPr="00093AE4">
        <w:rPr>
          <w:rFonts w:hint="eastAsia"/>
        </w:rPr>
        <w:t xml:space="preserve">　　マカトンサインは，手指による動作表現．</w:t>
      </w:r>
    </w:p>
    <w:p w14:paraId="4A05ADAE" w14:textId="77777777" w:rsidR="00093AE4" w:rsidRPr="00093AE4" w:rsidRDefault="00093AE4" w:rsidP="00093AE4">
      <w:r w:rsidRPr="00093AE4">
        <w:rPr>
          <w:rFonts w:hint="eastAsia"/>
        </w:rPr>
        <w:t xml:space="preserve">　「バイバイ」（手を振る），「ごちそうさま」（両手を合</w:t>
      </w:r>
    </w:p>
    <w:p w14:paraId="56E4C17A" w14:textId="77777777" w:rsidR="00093AE4" w:rsidRPr="00093AE4" w:rsidRDefault="00093AE4" w:rsidP="00093AE4">
      <w:r w:rsidRPr="00093AE4">
        <w:rPr>
          <w:rFonts w:hint="eastAsia"/>
        </w:rPr>
        <w:t xml:space="preserve">　　わせる）などのジェスチャーを使う．</w:t>
      </w:r>
    </w:p>
    <w:p w14:paraId="20DF5A49" w14:textId="77777777" w:rsidR="00093AE4" w:rsidRPr="00093AE4" w:rsidRDefault="00093AE4" w:rsidP="00093AE4">
      <w:r w:rsidRPr="00093AE4">
        <w:rPr>
          <w:rFonts w:hint="eastAsia"/>
        </w:rPr>
        <w:lastRenderedPageBreak/>
        <w:t xml:space="preserve">　　マカトンシンボルは，絵文字のような線画．</w:t>
      </w:r>
    </w:p>
    <w:p w14:paraId="33976AC0" w14:textId="77777777" w:rsidR="00093AE4" w:rsidRPr="00093AE4" w:rsidRDefault="00093AE4" w:rsidP="00093AE4">
      <w:r w:rsidRPr="00093AE4">
        <w:rPr>
          <w:rFonts w:hint="eastAsia"/>
          <w:b/>
          <w:bCs/>
        </w:rPr>
        <w:t>（２）コミュニケーションと視覚支援</w:t>
      </w:r>
    </w:p>
    <w:p w14:paraId="52E7257C" w14:textId="77777777" w:rsidR="00093AE4" w:rsidRPr="00093AE4" w:rsidRDefault="00093AE4" w:rsidP="00093AE4">
      <w:r w:rsidRPr="00093AE4">
        <w:rPr>
          <w:rFonts w:hint="eastAsia"/>
          <w:b/>
          <w:bCs/>
        </w:rPr>
        <w:t xml:space="preserve">　①視覚支援の考え方</w:t>
      </w:r>
    </w:p>
    <w:p w14:paraId="0895E8CE" w14:textId="77777777" w:rsidR="00093AE4" w:rsidRPr="00093AE4" w:rsidRDefault="00093AE4" w:rsidP="00093AE4">
      <w:r w:rsidRPr="00093AE4">
        <w:rPr>
          <w:rFonts w:hint="eastAsia"/>
        </w:rPr>
        <w:t xml:space="preserve">　　知的能力障害や自閉スペクトラム症のある人とのコミュニケーションでは目で見て</w:t>
      </w:r>
    </w:p>
    <w:p w14:paraId="7A10E9BE" w14:textId="77777777" w:rsidR="00093AE4" w:rsidRPr="00093AE4" w:rsidRDefault="00093AE4" w:rsidP="00093AE4">
      <w:r w:rsidRPr="00093AE4">
        <w:rPr>
          <w:rFonts w:hint="eastAsia"/>
        </w:rPr>
        <w:t xml:space="preserve">　　わかりやすい素材（文字シンボル，イラスト，写真，実物やサインなど）が有効.</w:t>
      </w:r>
    </w:p>
    <w:p w14:paraId="75E42617" w14:textId="77777777" w:rsidR="00093AE4" w:rsidRPr="00093AE4" w:rsidRDefault="00093AE4" w:rsidP="00093AE4">
      <w:r w:rsidRPr="00093AE4">
        <w:rPr>
          <w:rFonts w:hint="eastAsia"/>
        </w:rPr>
        <w:t xml:space="preserve">　　視覚化は，言葉を補うコミュニケーション法として応用されている．</w:t>
      </w:r>
    </w:p>
    <w:p w14:paraId="4C963B2A" w14:textId="77777777" w:rsidR="00093AE4" w:rsidRPr="00093AE4" w:rsidRDefault="00093AE4" w:rsidP="00093AE4">
      <w:r w:rsidRPr="00093AE4">
        <w:rPr>
          <w:rFonts w:hint="eastAsia"/>
        </w:rPr>
        <w:t xml:space="preserve">　　視覚支援では，場所や空間のもつ意味，予定などを目で見てわかりやすく工夫する</w:t>
      </w:r>
    </w:p>
    <w:p w14:paraId="3A688902" w14:textId="77777777" w:rsidR="00093AE4" w:rsidRPr="00093AE4" w:rsidRDefault="00093AE4" w:rsidP="00093AE4">
      <w:r w:rsidRPr="00093AE4">
        <w:rPr>
          <w:rFonts w:hint="eastAsia"/>
        </w:rPr>
        <w:t xml:space="preserve">　　こと(</w:t>
      </w:r>
      <w:r w:rsidRPr="00093AE4">
        <w:rPr>
          <w:rFonts w:hint="eastAsia"/>
          <w:color w:val="FF0000"/>
        </w:rPr>
        <w:t>＝構造化</w:t>
      </w:r>
      <w:r w:rsidRPr="00093AE4">
        <w:rPr>
          <w:rFonts w:hint="eastAsia"/>
        </w:rPr>
        <w:t>)することが大切であるとされている．</w:t>
      </w:r>
    </w:p>
    <w:p w14:paraId="575CE7E5" w14:textId="25698C70" w:rsidR="00093AE4" w:rsidRPr="00093AE4" w:rsidRDefault="00093AE4" w:rsidP="00383DB5">
      <w:pPr>
        <w:pStyle w:val="a3"/>
        <w:numPr>
          <w:ilvl w:val="0"/>
          <w:numId w:val="5"/>
        </w:numPr>
        <w:ind w:leftChars="0"/>
      </w:pPr>
      <w:r w:rsidRPr="00383DB5">
        <w:rPr>
          <w:rFonts w:hint="eastAsia"/>
          <w:b/>
          <w:bCs/>
        </w:rPr>
        <w:t>構造化(structured)</w:t>
      </w:r>
    </w:p>
    <w:p w14:paraId="02684A15" w14:textId="470614E6" w:rsidR="00093AE4" w:rsidRPr="00093AE4" w:rsidRDefault="00093AE4" w:rsidP="00383DB5">
      <w:pPr>
        <w:ind w:left="412" w:hangingChars="200" w:hanging="412"/>
      </w:pPr>
      <w:r w:rsidRPr="00093AE4">
        <w:rPr>
          <w:rFonts w:hint="eastAsia"/>
          <w:b/>
          <w:bCs/>
        </w:rPr>
        <w:t xml:space="preserve">　　</w:t>
      </w:r>
      <w:r w:rsidRPr="00093AE4">
        <w:rPr>
          <w:rFonts w:hint="eastAsia"/>
        </w:rPr>
        <w:t>構造化とは，周囲で</w:t>
      </w:r>
      <w:r w:rsidRPr="00093AE4">
        <w:rPr>
          <w:rFonts w:hint="eastAsia"/>
          <w:color w:val="FF0000"/>
        </w:rPr>
        <w:t>何が起こっているのか</w:t>
      </w:r>
      <w:r w:rsidRPr="00093AE4">
        <w:rPr>
          <w:rFonts w:hint="eastAsia"/>
        </w:rPr>
        <w:t>，そして彼らの一人ひとりの機能に合わ　　せて</w:t>
      </w:r>
      <w:r w:rsidRPr="00093AE4">
        <w:rPr>
          <w:rFonts w:hint="eastAsia"/>
          <w:color w:val="FF0000"/>
        </w:rPr>
        <w:t>何をすればよいのかをわかりやすく提示</w:t>
      </w:r>
      <w:r w:rsidRPr="00093AE4">
        <w:rPr>
          <w:rFonts w:hint="eastAsia"/>
        </w:rPr>
        <w:t>する方法.</w:t>
      </w:r>
    </w:p>
    <w:p w14:paraId="75EEC37E" w14:textId="77777777" w:rsidR="00093AE4" w:rsidRPr="00093AE4" w:rsidRDefault="00093AE4" w:rsidP="00093AE4">
      <w:r w:rsidRPr="00093AE4">
        <w:rPr>
          <w:rFonts w:hint="eastAsia"/>
          <w:b/>
          <w:bCs/>
        </w:rPr>
        <w:t xml:space="preserve">　　1）物理的構造化：</w:t>
      </w:r>
      <w:r w:rsidRPr="00093AE4">
        <w:rPr>
          <w:rFonts w:hint="eastAsia"/>
        </w:rPr>
        <w:t>生活や学習の場で、物の配置を工夫して、</w:t>
      </w:r>
      <w:r w:rsidRPr="00093AE4">
        <w:rPr>
          <w:rFonts w:hint="eastAsia"/>
          <w:color w:val="FF0000"/>
        </w:rPr>
        <w:t>場所や場面の意味</w:t>
      </w:r>
      <w:r w:rsidRPr="00093AE4">
        <w:rPr>
          <w:rFonts w:hint="eastAsia"/>
        </w:rPr>
        <w:t>を視</w:t>
      </w:r>
    </w:p>
    <w:p w14:paraId="63CEBDFF" w14:textId="77777777" w:rsidR="00093AE4" w:rsidRPr="00093AE4" w:rsidRDefault="00093AE4" w:rsidP="00093AE4">
      <w:r w:rsidRPr="00093AE4">
        <w:rPr>
          <w:rFonts w:hint="eastAsia"/>
        </w:rPr>
        <w:t xml:space="preserve">　　　覚的にわかりやすくする方法.</w:t>
      </w:r>
    </w:p>
    <w:p w14:paraId="161D6A02" w14:textId="13E62E30" w:rsidR="00093AE4" w:rsidRPr="00093AE4" w:rsidRDefault="00093AE4" w:rsidP="00383DB5">
      <w:pPr>
        <w:ind w:left="618" w:hangingChars="300" w:hanging="618"/>
      </w:pPr>
      <w:r w:rsidRPr="00093AE4">
        <w:rPr>
          <w:rFonts w:hint="eastAsia"/>
          <w:b/>
          <w:bCs/>
        </w:rPr>
        <w:t xml:space="preserve">　　2）スケジュールの構造化：</w:t>
      </w:r>
      <w:r w:rsidRPr="00093AE4">
        <w:rPr>
          <w:rFonts w:hint="eastAsia"/>
          <w:color w:val="FF0000"/>
        </w:rPr>
        <w:t>予定されているスケジュール</w:t>
      </w:r>
      <w:r w:rsidRPr="00093AE4">
        <w:rPr>
          <w:rFonts w:hint="eastAsia"/>
        </w:rPr>
        <w:t>を、図や表に作成して示す方法.</w:t>
      </w:r>
    </w:p>
    <w:p w14:paraId="08AEC4FA" w14:textId="0C5008E0" w:rsidR="00093AE4" w:rsidRPr="00093AE4" w:rsidRDefault="00093AE4" w:rsidP="00383DB5">
      <w:pPr>
        <w:ind w:left="618" w:hangingChars="300" w:hanging="618"/>
        <w:rPr>
          <w:color w:val="FF0000"/>
        </w:rPr>
      </w:pPr>
      <w:r w:rsidRPr="00093AE4">
        <w:rPr>
          <w:rFonts w:hint="eastAsia"/>
          <w:b/>
          <w:bCs/>
        </w:rPr>
        <w:t xml:space="preserve">　　3）ワークシステム：</w:t>
      </w:r>
      <w:r w:rsidRPr="00093AE4">
        <w:rPr>
          <w:rFonts w:hint="eastAsia"/>
          <w:color w:val="FF0000"/>
        </w:rPr>
        <w:t>作業の内容、量、時間</w:t>
      </w:r>
      <w:r w:rsidRPr="00093AE4">
        <w:rPr>
          <w:rFonts w:hint="eastAsia"/>
        </w:rPr>
        <w:t>と，それが</w:t>
      </w:r>
      <w:r w:rsidRPr="00093AE4">
        <w:rPr>
          <w:rFonts w:hint="eastAsia"/>
          <w:color w:val="FF0000"/>
        </w:rPr>
        <w:t>いつ終わり</w:t>
      </w:r>
      <w:r w:rsidRPr="00093AE4">
        <w:rPr>
          <w:rFonts w:hint="eastAsia"/>
        </w:rPr>
        <w:t>，</w:t>
      </w:r>
      <w:r w:rsidRPr="00093AE4">
        <w:rPr>
          <w:rFonts w:hint="eastAsia"/>
          <w:color w:val="FF0000"/>
        </w:rPr>
        <w:t>そのあと何をするのか</w:t>
      </w:r>
      <w:r w:rsidRPr="00093AE4">
        <w:rPr>
          <w:rFonts w:hint="eastAsia"/>
        </w:rPr>
        <w:t>を具体的に示す方法.</w:t>
      </w:r>
    </w:p>
    <w:p w14:paraId="33C76CD6" w14:textId="77777777" w:rsidR="00093AE4" w:rsidRPr="00093AE4" w:rsidRDefault="00093AE4" w:rsidP="00093AE4">
      <w:r w:rsidRPr="00093AE4">
        <w:rPr>
          <w:rFonts w:hint="eastAsia"/>
          <w:b/>
          <w:bCs/>
        </w:rPr>
        <w:t xml:space="preserve">　③歯科診療における視覚支援の実際</w:t>
      </w:r>
    </w:p>
    <w:p w14:paraId="17C52D7C" w14:textId="4CBF09FF" w:rsidR="00093AE4" w:rsidRPr="00093AE4" w:rsidRDefault="00093AE4" w:rsidP="00383DB5">
      <w:pPr>
        <w:ind w:left="420" w:hangingChars="200" w:hanging="420"/>
      </w:pPr>
      <w:r w:rsidRPr="00093AE4">
        <w:rPr>
          <w:rFonts w:hint="eastAsia"/>
        </w:rPr>
        <w:t xml:space="preserve">　　コミュニケーションに障害のある人がどのような方法に慣れているかを知ることが必要.</w:t>
      </w:r>
    </w:p>
    <w:p w14:paraId="026EB8A4" w14:textId="77777777" w:rsidR="00093AE4" w:rsidRPr="00093AE4" w:rsidRDefault="00093AE4" w:rsidP="00093AE4">
      <w:r w:rsidRPr="00093AE4">
        <w:rPr>
          <w:rFonts w:hint="eastAsia"/>
        </w:rPr>
        <w:t xml:space="preserve">　　</w:t>
      </w:r>
      <w:r w:rsidRPr="00093AE4">
        <w:rPr>
          <w:rFonts w:hint="eastAsia"/>
          <w:b/>
          <w:bCs/>
        </w:rPr>
        <w:t>１）物理的構造化：</w:t>
      </w:r>
      <w:r w:rsidRPr="00093AE4">
        <w:rPr>
          <w:rFonts w:hint="eastAsia"/>
        </w:rPr>
        <w:t>パーテーションやロールスクリーンで落ち着ける環境を整える．</w:t>
      </w:r>
    </w:p>
    <w:p w14:paraId="6CAE2B74" w14:textId="77777777" w:rsidR="00093AE4" w:rsidRPr="00093AE4" w:rsidRDefault="00093AE4" w:rsidP="00093AE4">
      <w:r w:rsidRPr="00093AE4">
        <w:rPr>
          <w:rFonts w:hint="eastAsia"/>
        </w:rPr>
        <w:t xml:space="preserve">　　　　足形で立ち位置や靴を脱ぐ場所を示すなどする．</w:t>
      </w:r>
    </w:p>
    <w:p w14:paraId="70C5E85B" w14:textId="77777777" w:rsidR="00093AE4" w:rsidRPr="00093AE4" w:rsidRDefault="00093AE4" w:rsidP="00093AE4">
      <w:r w:rsidRPr="00093AE4">
        <w:rPr>
          <w:rFonts w:hint="eastAsia"/>
          <w:b/>
          <w:bCs/>
        </w:rPr>
        <w:t xml:space="preserve">　　２）スケジュールの構造化（治療手順のスケジュール化）：</w:t>
      </w:r>
    </w:p>
    <w:p w14:paraId="736FD0E2" w14:textId="77777777" w:rsidR="00093AE4" w:rsidRPr="00093AE4" w:rsidRDefault="00093AE4" w:rsidP="00093AE4">
      <w:r w:rsidRPr="00093AE4">
        <w:rPr>
          <w:rFonts w:hint="eastAsia"/>
        </w:rPr>
        <w:t xml:space="preserve">　　　　診療前や診療中に，治療や口腔清掃の手順を</w:t>
      </w:r>
      <w:r w:rsidRPr="00093AE4">
        <w:rPr>
          <w:rFonts w:hint="eastAsia"/>
          <w:color w:val="FF0000"/>
        </w:rPr>
        <w:t>視覚的素材（ジグ）</w:t>
      </w:r>
      <w:r w:rsidRPr="00093AE4">
        <w:rPr>
          <w:rFonts w:hint="eastAsia"/>
        </w:rPr>
        <w:t>で示す．</w:t>
      </w:r>
    </w:p>
    <w:p w14:paraId="23AD689D" w14:textId="77777777" w:rsidR="00093AE4" w:rsidRPr="00093AE4" w:rsidRDefault="00093AE4" w:rsidP="00093AE4">
      <w:r w:rsidRPr="00093AE4">
        <w:rPr>
          <w:rFonts w:hint="eastAsia"/>
        </w:rPr>
        <w:t xml:space="preserve">　　　　自閉スペクトラム症の人の場合，</w:t>
      </w:r>
    </w:p>
    <w:p w14:paraId="78BD2E4B" w14:textId="722F278B" w:rsidR="00093AE4" w:rsidRPr="00093AE4" w:rsidRDefault="00093AE4" w:rsidP="00383DB5">
      <w:pPr>
        <w:ind w:left="840" w:hangingChars="400" w:hanging="840"/>
      </w:pPr>
      <w:r w:rsidRPr="00093AE4">
        <w:rPr>
          <w:rFonts w:hint="eastAsia"/>
        </w:rPr>
        <w:t xml:space="preserve">　　　　器具絵カードや写真などを手順どおりに並べ，手順が一つ終われば該当するカードを取り除く方法がよく用いられている．</w:t>
      </w:r>
    </w:p>
    <w:p w14:paraId="0CA5ED9C" w14:textId="77777777" w:rsidR="00093AE4" w:rsidRPr="00093AE4" w:rsidRDefault="00093AE4" w:rsidP="00093AE4">
      <w:r w:rsidRPr="00093AE4">
        <w:rPr>
          <w:rFonts w:hint="eastAsia"/>
          <w:b/>
          <w:bCs/>
        </w:rPr>
        <w:t xml:space="preserve">　　３）ワークシステム：</w:t>
      </w:r>
      <w:r w:rsidRPr="00093AE4">
        <w:rPr>
          <w:rFonts w:hint="eastAsia"/>
        </w:rPr>
        <w:t>必要な場合には，何を，どれくらい行って，終わったら何をす</w:t>
      </w:r>
    </w:p>
    <w:p w14:paraId="54991E9C" w14:textId="77777777" w:rsidR="00093AE4" w:rsidRPr="00093AE4" w:rsidRDefault="00093AE4" w:rsidP="00093AE4">
      <w:r w:rsidRPr="00093AE4">
        <w:rPr>
          <w:rFonts w:hint="eastAsia"/>
        </w:rPr>
        <w:t xml:space="preserve">　　　　るのかを示すようにする．</w:t>
      </w:r>
    </w:p>
    <w:p w14:paraId="11383592" w14:textId="77777777" w:rsidR="00093AE4" w:rsidRPr="00093AE4" w:rsidRDefault="00093AE4" w:rsidP="00093AE4">
      <w:r w:rsidRPr="00093AE4">
        <w:rPr>
          <w:rFonts w:hint="eastAsia"/>
        </w:rPr>
        <w:t xml:space="preserve">　　　　TSD法や正の強化子を用いたオペラント技法などと組み合わせるとより効果的な</w:t>
      </w:r>
    </w:p>
    <w:p w14:paraId="346BCEEC" w14:textId="77777777" w:rsidR="00093AE4" w:rsidRPr="00093AE4" w:rsidRDefault="00093AE4" w:rsidP="00093AE4">
      <w:r w:rsidRPr="00093AE4">
        <w:rPr>
          <w:rFonts w:hint="eastAsia"/>
        </w:rPr>
        <w:t xml:space="preserve">　　　　行動調整ツールとなる.</w:t>
      </w:r>
    </w:p>
    <w:sectPr w:rsidR="00093AE4" w:rsidRPr="00093AE4">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055F91"/>
    <w:multiLevelType w:val="hybridMultilevel"/>
    <w:tmpl w:val="26B0ACA8"/>
    <w:lvl w:ilvl="0" w:tplc="1456A380">
      <w:start w:val="1"/>
      <w:numFmt w:val="bullet"/>
      <w:lvlText w:val="•"/>
      <w:lvlJc w:val="left"/>
      <w:pPr>
        <w:tabs>
          <w:tab w:val="num" w:pos="720"/>
        </w:tabs>
        <w:ind w:left="720" w:hanging="360"/>
      </w:pPr>
      <w:rPr>
        <w:rFonts w:ascii="Arial" w:hAnsi="Arial" w:hint="default"/>
      </w:rPr>
    </w:lvl>
    <w:lvl w:ilvl="1" w:tplc="D5A23D6C" w:tentative="1">
      <w:start w:val="1"/>
      <w:numFmt w:val="bullet"/>
      <w:lvlText w:val="•"/>
      <w:lvlJc w:val="left"/>
      <w:pPr>
        <w:tabs>
          <w:tab w:val="num" w:pos="1440"/>
        </w:tabs>
        <w:ind w:left="1440" w:hanging="360"/>
      </w:pPr>
      <w:rPr>
        <w:rFonts w:ascii="Arial" w:hAnsi="Arial" w:hint="default"/>
      </w:rPr>
    </w:lvl>
    <w:lvl w:ilvl="2" w:tplc="A3326680" w:tentative="1">
      <w:start w:val="1"/>
      <w:numFmt w:val="bullet"/>
      <w:lvlText w:val="•"/>
      <w:lvlJc w:val="left"/>
      <w:pPr>
        <w:tabs>
          <w:tab w:val="num" w:pos="2160"/>
        </w:tabs>
        <w:ind w:left="2160" w:hanging="360"/>
      </w:pPr>
      <w:rPr>
        <w:rFonts w:ascii="Arial" w:hAnsi="Arial" w:hint="default"/>
      </w:rPr>
    </w:lvl>
    <w:lvl w:ilvl="3" w:tplc="93D4933C" w:tentative="1">
      <w:start w:val="1"/>
      <w:numFmt w:val="bullet"/>
      <w:lvlText w:val="•"/>
      <w:lvlJc w:val="left"/>
      <w:pPr>
        <w:tabs>
          <w:tab w:val="num" w:pos="2880"/>
        </w:tabs>
        <w:ind w:left="2880" w:hanging="360"/>
      </w:pPr>
      <w:rPr>
        <w:rFonts w:ascii="Arial" w:hAnsi="Arial" w:hint="default"/>
      </w:rPr>
    </w:lvl>
    <w:lvl w:ilvl="4" w:tplc="C8E81EAE" w:tentative="1">
      <w:start w:val="1"/>
      <w:numFmt w:val="bullet"/>
      <w:lvlText w:val="•"/>
      <w:lvlJc w:val="left"/>
      <w:pPr>
        <w:tabs>
          <w:tab w:val="num" w:pos="3600"/>
        </w:tabs>
        <w:ind w:left="3600" w:hanging="360"/>
      </w:pPr>
      <w:rPr>
        <w:rFonts w:ascii="Arial" w:hAnsi="Arial" w:hint="default"/>
      </w:rPr>
    </w:lvl>
    <w:lvl w:ilvl="5" w:tplc="76AE5144" w:tentative="1">
      <w:start w:val="1"/>
      <w:numFmt w:val="bullet"/>
      <w:lvlText w:val="•"/>
      <w:lvlJc w:val="left"/>
      <w:pPr>
        <w:tabs>
          <w:tab w:val="num" w:pos="4320"/>
        </w:tabs>
        <w:ind w:left="4320" w:hanging="360"/>
      </w:pPr>
      <w:rPr>
        <w:rFonts w:ascii="Arial" w:hAnsi="Arial" w:hint="default"/>
      </w:rPr>
    </w:lvl>
    <w:lvl w:ilvl="6" w:tplc="1CD43A52" w:tentative="1">
      <w:start w:val="1"/>
      <w:numFmt w:val="bullet"/>
      <w:lvlText w:val="•"/>
      <w:lvlJc w:val="left"/>
      <w:pPr>
        <w:tabs>
          <w:tab w:val="num" w:pos="5040"/>
        </w:tabs>
        <w:ind w:left="5040" w:hanging="360"/>
      </w:pPr>
      <w:rPr>
        <w:rFonts w:ascii="Arial" w:hAnsi="Arial" w:hint="default"/>
      </w:rPr>
    </w:lvl>
    <w:lvl w:ilvl="7" w:tplc="A91ADE12" w:tentative="1">
      <w:start w:val="1"/>
      <w:numFmt w:val="bullet"/>
      <w:lvlText w:val="•"/>
      <w:lvlJc w:val="left"/>
      <w:pPr>
        <w:tabs>
          <w:tab w:val="num" w:pos="5760"/>
        </w:tabs>
        <w:ind w:left="5760" w:hanging="360"/>
      </w:pPr>
      <w:rPr>
        <w:rFonts w:ascii="Arial" w:hAnsi="Arial" w:hint="default"/>
      </w:rPr>
    </w:lvl>
    <w:lvl w:ilvl="8" w:tplc="F46C940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4117A3C"/>
    <w:multiLevelType w:val="hybridMultilevel"/>
    <w:tmpl w:val="2F346282"/>
    <w:lvl w:ilvl="0" w:tplc="7AC69730">
      <w:start w:val="1"/>
      <w:numFmt w:val="bullet"/>
      <w:lvlText w:val="•"/>
      <w:lvlJc w:val="left"/>
      <w:pPr>
        <w:tabs>
          <w:tab w:val="num" w:pos="720"/>
        </w:tabs>
        <w:ind w:left="720" w:hanging="360"/>
      </w:pPr>
      <w:rPr>
        <w:rFonts w:ascii="Arial" w:hAnsi="Arial" w:hint="default"/>
      </w:rPr>
    </w:lvl>
    <w:lvl w:ilvl="1" w:tplc="92240446" w:tentative="1">
      <w:start w:val="1"/>
      <w:numFmt w:val="bullet"/>
      <w:lvlText w:val="•"/>
      <w:lvlJc w:val="left"/>
      <w:pPr>
        <w:tabs>
          <w:tab w:val="num" w:pos="1440"/>
        </w:tabs>
        <w:ind w:left="1440" w:hanging="360"/>
      </w:pPr>
      <w:rPr>
        <w:rFonts w:ascii="Arial" w:hAnsi="Arial" w:hint="default"/>
      </w:rPr>
    </w:lvl>
    <w:lvl w:ilvl="2" w:tplc="5BE02C6C" w:tentative="1">
      <w:start w:val="1"/>
      <w:numFmt w:val="bullet"/>
      <w:lvlText w:val="•"/>
      <w:lvlJc w:val="left"/>
      <w:pPr>
        <w:tabs>
          <w:tab w:val="num" w:pos="2160"/>
        </w:tabs>
        <w:ind w:left="2160" w:hanging="360"/>
      </w:pPr>
      <w:rPr>
        <w:rFonts w:ascii="Arial" w:hAnsi="Arial" w:hint="default"/>
      </w:rPr>
    </w:lvl>
    <w:lvl w:ilvl="3" w:tplc="921CCCDE" w:tentative="1">
      <w:start w:val="1"/>
      <w:numFmt w:val="bullet"/>
      <w:lvlText w:val="•"/>
      <w:lvlJc w:val="left"/>
      <w:pPr>
        <w:tabs>
          <w:tab w:val="num" w:pos="2880"/>
        </w:tabs>
        <w:ind w:left="2880" w:hanging="360"/>
      </w:pPr>
      <w:rPr>
        <w:rFonts w:ascii="Arial" w:hAnsi="Arial" w:hint="default"/>
      </w:rPr>
    </w:lvl>
    <w:lvl w:ilvl="4" w:tplc="181AE1D6" w:tentative="1">
      <w:start w:val="1"/>
      <w:numFmt w:val="bullet"/>
      <w:lvlText w:val="•"/>
      <w:lvlJc w:val="left"/>
      <w:pPr>
        <w:tabs>
          <w:tab w:val="num" w:pos="3600"/>
        </w:tabs>
        <w:ind w:left="3600" w:hanging="360"/>
      </w:pPr>
      <w:rPr>
        <w:rFonts w:ascii="Arial" w:hAnsi="Arial" w:hint="default"/>
      </w:rPr>
    </w:lvl>
    <w:lvl w:ilvl="5" w:tplc="63BC805A" w:tentative="1">
      <w:start w:val="1"/>
      <w:numFmt w:val="bullet"/>
      <w:lvlText w:val="•"/>
      <w:lvlJc w:val="left"/>
      <w:pPr>
        <w:tabs>
          <w:tab w:val="num" w:pos="4320"/>
        </w:tabs>
        <w:ind w:left="4320" w:hanging="360"/>
      </w:pPr>
      <w:rPr>
        <w:rFonts w:ascii="Arial" w:hAnsi="Arial" w:hint="default"/>
      </w:rPr>
    </w:lvl>
    <w:lvl w:ilvl="6" w:tplc="6FFEE038" w:tentative="1">
      <w:start w:val="1"/>
      <w:numFmt w:val="bullet"/>
      <w:lvlText w:val="•"/>
      <w:lvlJc w:val="left"/>
      <w:pPr>
        <w:tabs>
          <w:tab w:val="num" w:pos="5040"/>
        </w:tabs>
        <w:ind w:left="5040" w:hanging="360"/>
      </w:pPr>
      <w:rPr>
        <w:rFonts w:ascii="Arial" w:hAnsi="Arial" w:hint="default"/>
      </w:rPr>
    </w:lvl>
    <w:lvl w:ilvl="7" w:tplc="6798BB52" w:tentative="1">
      <w:start w:val="1"/>
      <w:numFmt w:val="bullet"/>
      <w:lvlText w:val="•"/>
      <w:lvlJc w:val="left"/>
      <w:pPr>
        <w:tabs>
          <w:tab w:val="num" w:pos="5760"/>
        </w:tabs>
        <w:ind w:left="5760" w:hanging="360"/>
      </w:pPr>
      <w:rPr>
        <w:rFonts w:ascii="Arial" w:hAnsi="Arial" w:hint="default"/>
      </w:rPr>
    </w:lvl>
    <w:lvl w:ilvl="8" w:tplc="A7AAC34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74B649B1"/>
    <w:multiLevelType w:val="hybridMultilevel"/>
    <w:tmpl w:val="37CAB028"/>
    <w:lvl w:ilvl="0" w:tplc="A0E88CB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7B0A6F21"/>
    <w:multiLevelType w:val="hybridMultilevel"/>
    <w:tmpl w:val="2FD0AB04"/>
    <w:lvl w:ilvl="0" w:tplc="24AC4224">
      <w:start w:val="1"/>
      <w:numFmt w:val="bullet"/>
      <w:lvlText w:val="•"/>
      <w:lvlJc w:val="left"/>
      <w:pPr>
        <w:tabs>
          <w:tab w:val="num" w:pos="720"/>
        </w:tabs>
        <w:ind w:left="720" w:hanging="360"/>
      </w:pPr>
      <w:rPr>
        <w:rFonts w:ascii="Arial" w:hAnsi="Arial" w:hint="default"/>
      </w:rPr>
    </w:lvl>
    <w:lvl w:ilvl="1" w:tplc="EDAA3308" w:tentative="1">
      <w:start w:val="1"/>
      <w:numFmt w:val="bullet"/>
      <w:lvlText w:val="•"/>
      <w:lvlJc w:val="left"/>
      <w:pPr>
        <w:tabs>
          <w:tab w:val="num" w:pos="1440"/>
        </w:tabs>
        <w:ind w:left="1440" w:hanging="360"/>
      </w:pPr>
      <w:rPr>
        <w:rFonts w:ascii="Arial" w:hAnsi="Arial" w:hint="default"/>
      </w:rPr>
    </w:lvl>
    <w:lvl w:ilvl="2" w:tplc="3AEAB176" w:tentative="1">
      <w:start w:val="1"/>
      <w:numFmt w:val="bullet"/>
      <w:lvlText w:val="•"/>
      <w:lvlJc w:val="left"/>
      <w:pPr>
        <w:tabs>
          <w:tab w:val="num" w:pos="2160"/>
        </w:tabs>
        <w:ind w:left="2160" w:hanging="360"/>
      </w:pPr>
      <w:rPr>
        <w:rFonts w:ascii="Arial" w:hAnsi="Arial" w:hint="default"/>
      </w:rPr>
    </w:lvl>
    <w:lvl w:ilvl="3" w:tplc="6DFA747A" w:tentative="1">
      <w:start w:val="1"/>
      <w:numFmt w:val="bullet"/>
      <w:lvlText w:val="•"/>
      <w:lvlJc w:val="left"/>
      <w:pPr>
        <w:tabs>
          <w:tab w:val="num" w:pos="2880"/>
        </w:tabs>
        <w:ind w:left="2880" w:hanging="360"/>
      </w:pPr>
      <w:rPr>
        <w:rFonts w:ascii="Arial" w:hAnsi="Arial" w:hint="default"/>
      </w:rPr>
    </w:lvl>
    <w:lvl w:ilvl="4" w:tplc="EAF420F8" w:tentative="1">
      <w:start w:val="1"/>
      <w:numFmt w:val="bullet"/>
      <w:lvlText w:val="•"/>
      <w:lvlJc w:val="left"/>
      <w:pPr>
        <w:tabs>
          <w:tab w:val="num" w:pos="3600"/>
        </w:tabs>
        <w:ind w:left="3600" w:hanging="360"/>
      </w:pPr>
      <w:rPr>
        <w:rFonts w:ascii="Arial" w:hAnsi="Arial" w:hint="default"/>
      </w:rPr>
    </w:lvl>
    <w:lvl w:ilvl="5" w:tplc="4BF66EC4" w:tentative="1">
      <w:start w:val="1"/>
      <w:numFmt w:val="bullet"/>
      <w:lvlText w:val="•"/>
      <w:lvlJc w:val="left"/>
      <w:pPr>
        <w:tabs>
          <w:tab w:val="num" w:pos="4320"/>
        </w:tabs>
        <w:ind w:left="4320" w:hanging="360"/>
      </w:pPr>
      <w:rPr>
        <w:rFonts w:ascii="Arial" w:hAnsi="Arial" w:hint="default"/>
      </w:rPr>
    </w:lvl>
    <w:lvl w:ilvl="6" w:tplc="ED020DBE" w:tentative="1">
      <w:start w:val="1"/>
      <w:numFmt w:val="bullet"/>
      <w:lvlText w:val="•"/>
      <w:lvlJc w:val="left"/>
      <w:pPr>
        <w:tabs>
          <w:tab w:val="num" w:pos="5040"/>
        </w:tabs>
        <w:ind w:left="5040" w:hanging="360"/>
      </w:pPr>
      <w:rPr>
        <w:rFonts w:ascii="Arial" w:hAnsi="Arial" w:hint="default"/>
      </w:rPr>
    </w:lvl>
    <w:lvl w:ilvl="7" w:tplc="8EB2E2D0" w:tentative="1">
      <w:start w:val="1"/>
      <w:numFmt w:val="bullet"/>
      <w:lvlText w:val="•"/>
      <w:lvlJc w:val="left"/>
      <w:pPr>
        <w:tabs>
          <w:tab w:val="num" w:pos="5760"/>
        </w:tabs>
        <w:ind w:left="5760" w:hanging="360"/>
      </w:pPr>
      <w:rPr>
        <w:rFonts w:ascii="Arial" w:hAnsi="Arial" w:hint="default"/>
      </w:rPr>
    </w:lvl>
    <w:lvl w:ilvl="8" w:tplc="EDD6D49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FBC2B4D"/>
    <w:multiLevelType w:val="hybridMultilevel"/>
    <w:tmpl w:val="DE8A15A6"/>
    <w:lvl w:ilvl="0" w:tplc="DC6A792C">
      <w:start w:val="1"/>
      <w:numFmt w:val="bullet"/>
      <w:lvlText w:val="•"/>
      <w:lvlJc w:val="left"/>
      <w:pPr>
        <w:tabs>
          <w:tab w:val="num" w:pos="720"/>
        </w:tabs>
        <w:ind w:left="720" w:hanging="360"/>
      </w:pPr>
      <w:rPr>
        <w:rFonts w:ascii="Arial" w:hAnsi="Arial" w:hint="default"/>
      </w:rPr>
    </w:lvl>
    <w:lvl w:ilvl="1" w:tplc="0C08FE56" w:tentative="1">
      <w:start w:val="1"/>
      <w:numFmt w:val="bullet"/>
      <w:lvlText w:val="•"/>
      <w:lvlJc w:val="left"/>
      <w:pPr>
        <w:tabs>
          <w:tab w:val="num" w:pos="1440"/>
        </w:tabs>
        <w:ind w:left="1440" w:hanging="360"/>
      </w:pPr>
      <w:rPr>
        <w:rFonts w:ascii="Arial" w:hAnsi="Arial" w:hint="default"/>
      </w:rPr>
    </w:lvl>
    <w:lvl w:ilvl="2" w:tplc="BBC63524" w:tentative="1">
      <w:start w:val="1"/>
      <w:numFmt w:val="bullet"/>
      <w:lvlText w:val="•"/>
      <w:lvlJc w:val="left"/>
      <w:pPr>
        <w:tabs>
          <w:tab w:val="num" w:pos="2160"/>
        </w:tabs>
        <w:ind w:left="2160" w:hanging="360"/>
      </w:pPr>
      <w:rPr>
        <w:rFonts w:ascii="Arial" w:hAnsi="Arial" w:hint="default"/>
      </w:rPr>
    </w:lvl>
    <w:lvl w:ilvl="3" w:tplc="F7D44308" w:tentative="1">
      <w:start w:val="1"/>
      <w:numFmt w:val="bullet"/>
      <w:lvlText w:val="•"/>
      <w:lvlJc w:val="left"/>
      <w:pPr>
        <w:tabs>
          <w:tab w:val="num" w:pos="2880"/>
        </w:tabs>
        <w:ind w:left="2880" w:hanging="360"/>
      </w:pPr>
      <w:rPr>
        <w:rFonts w:ascii="Arial" w:hAnsi="Arial" w:hint="default"/>
      </w:rPr>
    </w:lvl>
    <w:lvl w:ilvl="4" w:tplc="E7EE39D8" w:tentative="1">
      <w:start w:val="1"/>
      <w:numFmt w:val="bullet"/>
      <w:lvlText w:val="•"/>
      <w:lvlJc w:val="left"/>
      <w:pPr>
        <w:tabs>
          <w:tab w:val="num" w:pos="3600"/>
        </w:tabs>
        <w:ind w:left="3600" w:hanging="360"/>
      </w:pPr>
      <w:rPr>
        <w:rFonts w:ascii="Arial" w:hAnsi="Arial" w:hint="default"/>
      </w:rPr>
    </w:lvl>
    <w:lvl w:ilvl="5" w:tplc="6046BFDA" w:tentative="1">
      <w:start w:val="1"/>
      <w:numFmt w:val="bullet"/>
      <w:lvlText w:val="•"/>
      <w:lvlJc w:val="left"/>
      <w:pPr>
        <w:tabs>
          <w:tab w:val="num" w:pos="4320"/>
        </w:tabs>
        <w:ind w:left="4320" w:hanging="360"/>
      </w:pPr>
      <w:rPr>
        <w:rFonts w:ascii="Arial" w:hAnsi="Arial" w:hint="default"/>
      </w:rPr>
    </w:lvl>
    <w:lvl w:ilvl="6" w:tplc="ADA87938" w:tentative="1">
      <w:start w:val="1"/>
      <w:numFmt w:val="bullet"/>
      <w:lvlText w:val="•"/>
      <w:lvlJc w:val="left"/>
      <w:pPr>
        <w:tabs>
          <w:tab w:val="num" w:pos="5040"/>
        </w:tabs>
        <w:ind w:left="5040" w:hanging="360"/>
      </w:pPr>
      <w:rPr>
        <w:rFonts w:ascii="Arial" w:hAnsi="Arial" w:hint="default"/>
      </w:rPr>
    </w:lvl>
    <w:lvl w:ilvl="7" w:tplc="C65A22DA" w:tentative="1">
      <w:start w:val="1"/>
      <w:numFmt w:val="bullet"/>
      <w:lvlText w:val="•"/>
      <w:lvlJc w:val="left"/>
      <w:pPr>
        <w:tabs>
          <w:tab w:val="num" w:pos="5760"/>
        </w:tabs>
        <w:ind w:left="5760" w:hanging="360"/>
      </w:pPr>
      <w:rPr>
        <w:rFonts w:ascii="Arial" w:hAnsi="Arial" w:hint="default"/>
      </w:rPr>
    </w:lvl>
    <w:lvl w:ilvl="8" w:tplc="59603456" w:tentative="1">
      <w:start w:val="1"/>
      <w:numFmt w:val="bullet"/>
      <w:lvlText w:val="•"/>
      <w:lvlJc w:val="left"/>
      <w:pPr>
        <w:tabs>
          <w:tab w:val="num" w:pos="6480"/>
        </w:tabs>
        <w:ind w:left="6480" w:hanging="360"/>
      </w:pPr>
      <w:rPr>
        <w:rFonts w:ascii="Arial" w:hAnsi="Arial" w:hint="default"/>
      </w:rPr>
    </w:lvl>
  </w:abstractNum>
  <w:num w:numId="1" w16cid:durableId="653071465">
    <w:abstractNumId w:val="3"/>
  </w:num>
  <w:num w:numId="2" w16cid:durableId="614947450">
    <w:abstractNumId w:val="1"/>
  </w:num>
  <w:num w:numId="3" w16cid:durableId="1452095047">
    <w:abstractNumId w:val="4"/>
  </w:num>
  <w:num w:numId="4" w16cid:durableId="105396471">
    <w:abstractNumId w:val="0"/>
  </w:num>
  <w:num w:numId="5" w16cid:durableId="11090111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AE4"/>
    <w:rsid w:val="00093AE4"/>
    <w:rsid w:val="00383DB5"/>
    <w:rsid w:val="006849C8"/>
    <w:rsid w:val="007D328D"/>
    <w:rsid w:val="00BE4C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96124DE"/>
  <w15:chartTrackingRefBased/>
  <w15:docId w15:val="{3A034B20-2C6D-4748-AD69-91C3A9F72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4CF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390733">
      <w:bodyDiv w:val="1"/>
      <w:marLeft w:val="0"/>
      <w:marRight w:val="0"/>
      <w:marTop w:val="0"/>
      <w:marBottom w:val="0"/>
      <w:divBdr>
        <w:top w:val="none" w:sz="0" w:space="0" w:color="auto"/>
        <w:left w:val="none" w:sz="0" w:space="0" w:color="auto"/>
        <w:bottom w:val="none" w:sz="0" w:space="0" w:color="auto"/>
        <w:right w:val="none" w:sz="0" w:space="0" w:color="auto"/>
      </w:divBdr>
      <w:divsChild>
        <w:div w:id="1762990210">
          <w:marLeft w:val="360"/>
          <w:marRight w:val="0"/>
          <w:marTop w:val="200"/>
          <w:marBottom w:val="0"/>
          <w:divBdr>
            <w:top w:val="none" w:sz="0" w:space="0" w:color="auto"/>
            <w:left w:val="none" w:sz="0" w:space="0" w:color="auto"/>
            <w:bottom w:val="none" w:sz="0" w:space="0" w:color="auto"/>
            <w:right w:val="none" w:sz="0" w:space="0" w:color="auto"/>
          </w:divBdr>
        </w:div>
        <w:div w:id="1627545348">
          <w:marLeft w:val="360"/>
          <w:marRight w:val="0"/>
          <w:marTop w:val="200"/>
          <w:marBottom w:val="0"/>
          <w:divBdr>
            <w:top w:val="none" w:sz="0" w:space="0" w:color="auto"/>
            <w:left w:val="none" w:sz="0" w:space="0" w:color="auto"/>
            <w:bottom w:val="none" w:sz="0" w:space="0" w:color="auto"/>
            <w:right w:val="none" w:sz="0" w:space="0" w:color="auto"/>
          </w:divBdr>
        </w:div>
        <w:div w:id="391080914">
          <w:marLeft w:val="360"/>
          <w:marRight w:val="0"/>
          <w:marTop w:val="200"/>
          <w:marBottom w:val="0"/>
          <w:divBdr>
            <w:top w:val="none" w:sz="0" w:space="0" w:color="auto"/>
            <w:left w:val="none" w:sz="0" w:space="0" w:color="auto"/>
            <w:bottom w:val="none" w:sz="0" w:space="0" w:color="auto"/>
            <w:right w:val="none" w:sz="0" w:space="0" w:color="auto"/>
          </w:divBdr>
        </w:div>
        <w:div w:id="158622538">
          <w:marLeft w:val="360"/>
          <w:marRight w:val="0"/>
          <w:marTop w:val="200"/>
          <w:marBottom w:val="0"/>
          <w:divBdr>
            <w:top w:val="none" w:sz="0" w:space="0" w:color="auto"/>
            <w:left w:val="none" w:sz="0" w:space="0" w:color="auto"/>
            <w:bottom w:val="none" w:sz="0" w:space="0" w:color="auto"/>
            <w:right w:val="none" w:sz="0" w:space="0" w:color="auto"/>
          </w:divBdr>
        </w:div>
        <w:div w:id="1162887913">
          <w:marLeft w:val="360"/>
          <w:marRight w:val="0"/>
          <w:marTop w:val="200"/>
          <w:marBottom w:val="0"/>
          <w:divBdr>
            <w:top w:val="none" w:sz="0" w:space="0" w:color="auto"/>
            <w:left w:val="none" w:sz="0" w:space="0" w:color="auto"/>
            <w:bottom w:val="none" w:sz="0" w:space="0" w:color="auto"/>
            <w:right w:val="none" w:sz="0" w:space="0" w:color="auto"/>
          </w:divBdr>
        </w:div>
      </w:divsChild>
    </w:div>
    <w:div w:id="432172975">
      <w:bodyDiv w:val="1"/>
      <w:marLeft w:val="0"/>
      <w:marRight w:val="0"/>
      <w:marTop w:val="0"/>
      <w:marBottom w:val="0"/>
      <w:divBdr>
        <w:top w:val="none" w:sz="0" w:space="0" w:color="auto"/>
        <w:left w:val="none" w:sz="0" w:space="0" w:color="auto"/>
        <w:bottom w:val="none" w:sz="0" w:space="0" w:color="auto"/>
        <w:right w:val="none" w:sz="0" w:space="0" w:color="auto"/>
      </w:divBdr>
    </w:div>
    <w:div w:id="893929416">
      <w:bodyDiv w:val="1"/>
      <w:marLeft w:val="0"/>
      <w:marRight w:val="0"/>
      <w:marTop w:val="0"/>
      <w:marBottom w:val="0"/>
      <w:divBdr>
        <w:top w:val="none" w:sz="0" w:space="0" w:color="auto"/>
        <w:left w:val="none" w:sz="0" w:space="0" w:color="auto"/>
        <w:bottom w:val="none" w:sz="0" w:space="0" w:color="auto"/>
        <w:right w:val="none" w:sz="0" w:space="0" w:color="auto"/>
      </w:divBdr>
    </w:div>
    <w:div w:id="901139797">
      <w:bodyDiv w:val="1"/>
      <w:marLeft w:val="0"/>
      <w:marRight w:val="0"/>
      <w:marTop w:val="0"/>
      <w:marBottom w:val="0"/>
      <w:divBdr>
        <w:top w:val="none" w:sz="0" w:space="0" w:color="auto"/>
        <w:left w:val="none" w:sz="0" w:space="0" w:color="auto"/>
        <w:bottom w:val="none" w:sz="0" w:space="0" w:color="auto"/>
        <w:right w:val="none" w:sz="0" w:space="0" w:color="auto"/>
      </w:divBdr>
    </w:div>
    <w:div w:id="177335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6</Pages>
  <Words>717</Words>
  <Characters>4090</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八尾 正己</dc:creator>
  <cp:keywords/>
  <dc:description/>
  <cp:lastModifiedBy>八尾 正己</cp:lastModifiedBy>
  <cp:revision>1</cp:revision>
  <dcterms:created xsi:type="dcterms:W3CDTF">2022-12-12T12:54:00Z</dcterms:created>
  <dcterms:modified xsi:type="dcterms:W3CDTF">2022-12-12T13:18:00Z</dcterms:modified>
</cp:coreProperties>
</file>